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方正小标宋简体" w:eastAsia="方正小标宋简体"/>
          <w:b/>
          <w:sz w:val="44"/>
          <w:szCs w:val="44"/>
        </w:rPr>
      </w:pPr>
      <w:r>
        <w:rPr>
          <w:rFonts w:hint="eastAsia" w:ascii="方正小标宋简体" w:eastAsia="方正小标宋简体"/>
          <w:b/>
          <w:sz w:val="44"/>
          <w:szCs w:val="44"/>
        </w:rPr>
        <w:t>犍为县</w:t>
      </w:r>
      <w:bookmarkStart w:id="0" w:name="_GoBack"/>
      <w:bookmarkEnd w:id="0"/>
      <w:r>
        <w:rPr>
          <w:rFonts w:hint="eastAsia" w:ascii="方正小标宋简体" w:eastAsia="方正小标宋简体"/>
          <w:b/>
          <w:sz w:val="44"/>
          <w:szCs w:val="44"/>
        </w:rPr>
        <w:t>商务和投资促进局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方正小标宋简体" w:eastAsia="方正小标宋简体"/>
          <w:b/>
          <w:sz w:val="44"/>
          <w:szCs w:val="44"/>
        </w:rPr>
      </w:pPr>
      <w:r>
        <w:rPr>
          <w:rFonts w:hint="eastAsia" w:ascii="方正小标宋简体" w:eastAsia="方正小标宋简体"/>
          <w:b/>
          <w:sz w:val="44"/>
          <w:szCs w:val="44"/>
        </w:rPr>
        <w:t>关于</w:t>
      </w:r>
      <w:r>
        <w:rPr>
          <w:rFonts w:ascii="方正小标宋简体" w:eastAsia="方正小标宋简体"/>
          <w:b/>
          <w:sz w:val="44"/>
          <w:szCs w:val="44"/>
        </w:rPr>
        <w:t>2018</w:t>
      </w:r>
      <w:r>
        <w:rPr>
          <w:rFonts w:hint="eastAsia" w:ascii="方正小标宋简体" w:eastAsia="方正小标宋简体"/>
          <w:b/>
          <w:sz w:val="44"/>
          <w:szCs w:val="44"/>
        </w:rPr>
        <w:t>年度省级内贸流通服务业示范县项目资金服务业强县支撑项目的公示</w:t>
      </w:r>
    </w:p>
    <w:p>
      <w:pPr>
        <w:rPr>
          <w:rFonts w:ascii="仿宋_GB2312" w:hAnsi="仿宋_GB2312" w:eastAsia="仿宋_GB2312" w:cs="仿宋_GB2312"/>
          <w:snapToGrid w:val="0"/>
          <w:kern w:val="0"/>
          <w:sz w:val="32"/>
          <w:szCs w:val="28"/>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napToGrid w:val="0"/>
          <w:kern w:val="0"/>
          <w:sz w:val="32"/>
          <w:szCs w:val="28"/>
        </w:rPr>
        <w:t>按照</w:t>
      </w:r>
      <w:r>
        <w:rPr>
          <w:rFonts w:hint="eastAsia" w:ascii="仿宋_GB2312" w:hAnsi="仿宋_GB2312" w:eastAsia="仿宋_GB2312" w:cs="仿宋_GB2312"/>
          <w:sz w:val="32"/>
          <w:szCs w:val="32"/>
        </w:rPr>
        <w:t>《四川省财政厅</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四川省商务厅关于下达</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年度省级内贸流通服务业示范县项目资金的通知》</w:t>
      </w:r>
      <w:r>
        <w:rPr>
          <w:rFonts w:hint="eastAsia" w:ascii="仿宋_GB2312" w:hAnsi="仿宋_GB2312" w:eastAsia="仿宋_GB2312" w:cs="仿宋_GB2312"/>
          <w:sz w:val="32"/>
          <w:szCs w:val="28"/>
        </w:rPr>
        <w:t>（川财建〔</w:t>
      </w:r>
      <w:r>
        <w:rPr>
          <w:rFonts w:ascii="仿宋_GB2312" w:hAnsi="仿宋_GB2312" w:eastAsia="仿宋_GB2312" w:cs="仿宋_GB2312"/>
          <w:sz w:val="32"/>
          <w:szCs w:val="28"/>
        </w:rPr>
        <w:t>2018</w:t>
      </w:r>
      <w:r>
        <w:rPr>
          <w:rFonts w:hint="eastAsia" w:ascii="仿宋_GB2312" w:hAnsi="仿宋_GB2312" w:eastAsia="仿宋_GB2312" w:cs="仿宋_GB2312"/>
          <w:sz w:val="32"/>
          <w:szCs w:val="28"/>
        </w:rPr>
        <w:t>〕</w:t>
      </w:r>
      <w:r>
        <w:rPr>
          <w:rFonts w:ascii="仿宋_GB2312" w:hAnsi="仿宋_GB2312" w:eastAsia="仿宋_GB2312" w:cs="仿宋_GB2312"/>
          <w:sz w:val="32"/>
          <w:szCs w:val="28"/>
        </w:rPr>
        <w:t>32</w:t>
      </w:r>
      <w:r>
        <w:rPr>
          <w:rFonts w:hint="eastAsia" w:ascii="仿宋_GB2312" w:hAnsi="仿宋_GB2312" w:eastAsia="仿宋_GB2312" w:cs="仿宋_GB2312"/>
          <w:sz w:val="32"/>
          <w:szCs w:val="28"/>
        </w:rPr>
        <w:t>号）文件要求，经项目单位自愿申报、相关部门审核并报县政府同意，确</w:t>
      </w:r>
      <w:r>
        <w:rPr>
          <w:rFonts w:hint="eastAsia" w:ascii="仿宋_GB2312" w:hAnsi="仿宋_GB2312" w:eastAsia="仿宋_GB2312" w:cs="仿宋_GB2312"/>
          <w:sz w:val="32"/>
          <w:szCs w:val="32"/>
        </w:rPr>
        <w:t>定我县</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年度省级内贸流通服务业示范县项目资金服务业强县支撑项目，现予以公示，公示期</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个工作日。如有异议，请于</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日前向我局书面反映情况。</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28"/>
        </w:rPr>
        <w:t>联系</w:t>
      </w:r>
      <w:r>
        <w:rPr>
          <w:rFonts w:hint="eastAsia" w:ascii="仿宋_GB2312" w:hAnsi="仿宋_GB2312" w:eastAsia="仿宋_GB2312" w:cs="仿宋_GB2312"/>
          <w:sz w:val="32"/>
          <w:szCs w:val="28"/>
          <w:lang w:eastAsia="zh-CN"/>
        </w:rPr>
        <w:t>电话：</w:t>
      </w:r>
      <w:r>
        <w:rPr>
          <w:rFonts w:hint="eastAsia" w:ascii="仿宋_GB2312" w:hAnsi="仿宋_GB2312" w:eastAsia="仿宋_GB2312" w:cs="仿宋_GB2312"/>
          <w:sz w:val="32"/>
          <w:szCs w:val="28"/>
          <w:lang w:val="en-US" w:eastAsia="zh-CN"/>
        </w:rPr>
        <w:t>0833-4236401</w:t>
      </w:r>
    </w:p>
    <w:p>
      <w:pPr>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28"/>
        </w:rPr>
        <w:t>乐山市犍为县</w:t>
      </w:r>
      <w:r>
        <w:rPr>
          <w:rFonts w:ascii="仿宋_GB2312" w:hAnsi="仿宋_GB2312" w:eastAsia="仿宋_GB2312" w:cs="仿宋_GB2312"/>
          <w:sz w:val="32"/>
          <w:szCs w:val="28"/>
        </w:rPr>
        <w:t>2018</w:t>
      </w:r>
      <w:r>
        <w:rPr>
          <w:rFonts w:hint="eastAsia" w:ascii="仿宋_GB2312" w:hAnsi="仿宋_GB2312" w:eastAsia="仿宋_GB2312" w:cs="仿宋_GB2312"/>
          <w:sz w:val="32"/>
          <w:szCs w:val="28"/>
        </w:rPr>
        <w:t>年度省级服务业强县项目资金分配表</w:t>
      </w:r>
    </w:p>
    <w:p>
      <w:pPr>
        <w:ind w:firstLine="640" w:firstLineChars="200"/>
        <w:rPr>
          <w:rFonts w:ascii="仿宋_GB2312" w:hAnsi="仿宋_GB2312" w:eastAsia="仿宋_GB2312" w:cs="仿宋_GB2312"/>
          <w:sz w:val="32"/>
          <w:szCs w:val="28"/>
        </w:rPr>
      </w:pPr>
    </w:p>
    <w:p>
      <w:pPr>
        <w:ind w:firstLine="640" w:firstLineChars="200"/>
        <w:rPr>
          <w:rFonts w:ascii="仿宋_GB2312" w:hAnsi="仿宋_GB2312" w:eastAsia="仿宋_GB2312" w:cs="仿宋_GB2312"/>
          <w:sz w:val="32"/>
          <w:szCs w:val="28"/>
        </w:rPr>
      </w:pPr>
    </w:p>
    <w:p>
      <w:pPr>
        <w:ind w:firstLine="640" w:firstLineChars="200"/>
        <w:rPr>
          <w:rFonts w:ascii="仿宋_GB2312" w:hAnsi="仿宋_GB2312" w:eastAsia="仿宋_GB2312" w:cs="仿宋_GB2312"/>
          <w:sz w:val="32"/>
          <w:szCs w:val="28"/>
        </w:rPr>
      </w:pPr>
      <w:r>
        <w:rPr>
          <w:rFonts w:ascii="仿宋_GB2312" w:hAnsi="仿宋_GB2312" w:eastAsia="仿宋_GB2312" w:cs="仿宋_GB2312"/>
          <w:sz w:val="32"/>
          <w:szCs w:val="28"/>
        </w:rPr>
        <w:t xml:space="preserve">                   </w:t>
      </w:r>
    </w:p>
    <w:p>
      <w:pPr>
        <w:ind w:firstLine="3520" w:firstLineChars="1100"/>
        <w:rPr>
          <w:rFonts w:ascii="仿宋_GB2312" w:hAnsi="仿宋_GB2312" w:eastAsia="仿宋_GB2312" w:cs="仿宋_GB2312"/>
          <w:sz w:val="32"/>
          <w:szCs w:val="28"/>
        </w:rPr>
      </w:pPr>
      <w:r>
        <w:rPr>
          <w:rFonts w:hint="eastAsia" w:ascii="仿宋_GB2312" w:hAnsi="仿宋_GB2312" w:eastAsia="仿宋_GB2312" w:cs="仿宋_GB2312"/>
          <w:sz w:val="32"/>
          <w:szCs w:val="28"/>
        </w:rPr>
        <w:t>乐山市犍为县商务和投资促进局</w:t>
      </w:r>
    </w:p>
    <w:p>
      <w:pPr>
        <w:ind w:firstLine="640" w:firstLineChars="200"/>
        <w:rPr>
          <w:rFonts w:ascii="仿宋_GB2312" w:hAnsi="仿宋_GB2312" w:eastAsia="仿宋_GB2312" w:cs="仿宋_GB2312"/>
          <w:sz w:val="32"/>
          <w:szCs w:val="28"/>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425" w:num="1"/>
          <w:docGrid w:type="lines" w:linePitch="312" w:charSpace="0"/>
        </w:sectPr>
      </w:pPr>
      <w:r>
        <w:rPr>
          <w:rFonts w:ascii="仿宋_GB2312" w:hAnsi="仿宋_GB2312" w:eastAsia="仿宋_GB2312" w:cs="仿宋_GB2312"/>
          <w:sz w:val="32"/>
          <w:szCs w:val="28"/>
        </w:rPr>
        <w:t xml:space="preserve">                          2018</w:t>
      </w:r>
      <w:r>
        <w:rPr>
          <w:rFonts w:hint="eastAsia" w:ascii="仿宋_GB2312" w:hAnsi="仿宋_GB2312" w:eastAsia="仿宋_GB2312" w:cs="仿宋_GB2312"/>
          <w:sz w:val="32"/>
          <w:szCs w:val="28"/>
        </w:rPr>
        <w:t>年</w:t>
      </w:r>
      <w:r>
        <w:rPr>
          <w:rFonts w:ascii="仿宋_GB2312" w:hAnsi="仿宋_GB2312" w:eastAsia="仿宋_GB2312" w:cs="仿宋_GB2312"/>
          <w:sz w:val="32"/>
          <w:szCs w:val="28"/>
        </w:rPr>
        <w:t>7</w:t>
      </w:r>
      <w:r>
        <w:rPr>
          <w:rFonts w:hint="eastAsia" w:ascii="仿宋_GB2312" w:hAnsi="仿宋_GB2312" w:eastAsia="仿宋_GB2312" w:cs="仿宋_GB2312"/>
          <w:sz w:val="32"/>
          <w:szCs w:val="28"/>
        </w:rPr>
        <w:t>月</w:t>
      </w:r>
      <w:r>
        <w:rPr>
          <w:rFonts w:ascii="仿宋_GB2312" w:hAnsi="仿宋_GB2312" w:eastAsia="仿宋_GB2312" w:cs="仿宋_GB2312"/>
          <w:sz w:val="32"/>
          <w:szCs w:val="28"/>
        </w:rPr>
        <w:t>2</w:t>
      </w:r>
      <w:r>
        <w:rPr>
          <w:rFonts w:hint="eastAsia" w:ascii="仿宋_GB2312" w:hAnsi="仿宋_GB2312" w:eastAsia="仿宋_GB2312" w:cs="仿宋_GB2312"/>
          <w:sz w:val="32"/>
          <w:szCs w:val="28"/>
        </w:rPr>
        <w:t>日</w:t>
      </w:r>
    </w:p>
    <w:p>
      <w:pPr>
        <w:pStyle w:val="8"/>
        <w:spacing w:line="560" w:lineRule="exact"/>
        <w:jc w:val="center"/>
        <w:rPr>
          <w:rFonts w:ascii="宋体" w:cs="宋体"/>
          <w:sz w:val="20"/>
        </w:rPr>
      </w:pPr>
      <w:r>
        <w:rPr>
          <w:rFonts w:hint="eastAsia" w:ascii="方正小标宋简体" w:hAnsi="方正小标宋简体" w:eastAsia="方正小标宋简体"/>
          <w:b/>
          <w:color w:val="000000"/>
          <w:sz w:val="44"/>
          <w:szCs w:val="44"/>
        </w:rPr>
        <w:t>乐山市犍为县</w:t>
      </w:r>
      <w:r>
        <w:rPr>
          <w:rFonts w:ascii="方正小标宋简体" w:hAnsi="方正小标宋简体" w:eastAsia="方正小标宋简体"/>
          <w:b/>
          <w:color w:val="000000"/>
          <w:sz w:val="44"/>
          <w:szCs w:val="44"/>
        </w:rPr>
        <w:t>2018</w:t>
      </w:r>
      <w:r>
        <w:rPr>
          <w:rFonts w:hint="eastAsia" w:ascii="方正小标宋简体" w:hAnsi="方正小标宋简体" w:eastAsia="方正小标宋简体"/>
          <w:b/>
          <w:color w:val="000000"/>
          <w:sz w:val="44"/>
          <w:szCs w:val="44"/>
        </w:rPr>
        <w:t>年度省级服务业强县项目资金分配表</w:t>
      </w:r>
    </w:p>
    <w:p>
      <w:pPr>
        <w:pStyle w:val="8"/>
        <w:spacing w:line="560" w:lineRule="exact"/>
        <w:jc w:val="center"/>
        <w:rPr>
          <w:rFonts w:ascii="方正小标宋简体" w:hAnsi="方正小标宋简体" w:eastAsia="方正小标宋简体" w:cs="方正小标宋简体"/>
          <w:b/>
          <w:sz w:val="44"/>
          <w:szCs w:val="44"/>
        </w:rPr>
      </w:pPr>
    </w:p>
    <w:tbl>
      <w:tblPr>
        <w:tblStyle w:val="5"/>
        <w:tblW w:w="14795" w:type="dxa"/>
        <w:tblInd w:w="-228" w:type="dxa"/>
        <w:tblLayout w:type="fixed"/>
        <w:tblCellMar>
          <w:top w:w="0" w:type="dxa"/>
          <w:left w:w="108" w:type="dxa"/>
          <w:bottom w:w="0" w:type="dxa"/>
          <w:right w:w="108" w:type="dxa"/>
        </w:tblCellMar>
      </w:tblPr>
      <w:tblGrid>
        <w:gridCol w:w="478"/>
        <w:gridCol w:w="1701"/>
        <w:gridCol w:w="3827"/>
        <w:gridCol w:w="2268"/>
        <w:gridCol w:w="709"/>
        <w:gridCol w:w="709"/>
        <w:gridCol w:w="709"/>
        <w:gridCol w:w="850"/>
        <w:gridCol w:w="851"/>
        <w:gridCol w:w="1134"/>
        <w:gridCol w:w="992"/>
        <w:gridCol w:w="567"/>
      </w:tblGrid>
      <w:tr>
        <w:tblPrEx>
          <w:tblLayout w:type="fixed"/>
          <w:tblCellMar>
            <w:top w:w="0" w:type="dxa"/>
            <w:left w:w="108" w:type="dxa"/>
            <w:bottom w:w="0" w:type="dxa"/>
            <w:right w:w="108" w:type="dxa"/>
          </w:tblCellMar>
        </w:tblPrEx>
        <w:trPr>
          <w:trHeight w:val="90" w:hRule="atLeast"/>
        </w:trPr>
        <w:tc>
          <w:tcPr>
            <w:tcW w:w="47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00" w:lineRule="exact"/>
              <w:jc w:val="center"/>
              <w:textAlignment w:val="center"/>
              <w:rPr>
                <w:rFonts w:ascii="黑体" w:hAnsi="黑体" w:eastAsia="黑体" w:cs="黑体"/>
                <w:b/>
                <w:sz w:val="20"/>
              </w:rPr>
            </w:pPr>
            <w:r>
              <w:rPr>
                <w:rFonts w:hint="eastAsia" w:ascii="黑体" w:hAnsi="黑体" w:eastAsia="黑体" w:cs="黑体"/>
                <w:b/>
                <w:sz w:val="20"/>
              </w:rPr>
              <w:t>序号</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00" w:lineRule="exact"/>
              <w:jc w:val="center"/>
              <w:textAlignment w:val="center"/>
              <w:rPr>
                <w:rFonts w:ascii="黑体" w:hAnsi="黑体" w:eastAsia="黑体" w:cs="黑体"/>
                <w:b/>
                <w:sz w:val="20"/>
              </w:rPr>
            </w:pPr>
            <w:r>
              <w:rPr>
                <w:rFonts w:hint="eastAsia" w:ascii="黑体" w:hAnsi="黑体" w:eastAsia="黑体" w:cs="黑体"/>
                <w:b/>
                <w:sz w:val="20"/>
              </w:rPr>
              <w:t>项目名称</w:t>
            </w:r>
          </w:p>
        </w:tc>
        <w:tc>
          <w:tcPr>
            <w:tcW w:w="382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00" w:lineRule="exact"/>
              <w:jc w:val="center"/>
              <w:textAlignment w:val="center"/>
              <w:rPr>
                <w:rFonts w:ascii="黑体" w:hAnsi="黑体" w:eastAsia="黑体" w:cs="黑体"/>
                <w:b/>
                <w:sz w:val="20"/>
              </w:rPr>
            </w:pPr>
            <w:r>
              <w:rPr>
                <w:rFonts w:hint="eastAsia" w:ascii="黑体" w:hAnsi="黑体" w:eastAsia="黑体" w:cs="黑体"/>
                <w:b/>
                <w:sz w:val="20"/>
              </w:rPr>
              <w:t>项目建设内容</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00" w:lineRule="exact"/>
              <w:jc w:val="center"/>
              <w:textAlignment w:val="center"/>
              <w:rPr>
                <w:rFonts w:ascii="黑体" w:hAnsi="黑体" w:eastAsia="黑体" w:cs="黑体"/>
                <w:b/>
                <w:sz w:val="20"/>
              </w:rPr>
            </w:pPr>
            <w:r>
              <w:rPr>
                <w:rFonts w:hint="eastAsia" w:ascii="黑体" w:hAnsi="黑体" w:eastAsia="黑体" w:cs="黑体"/>
                <w:b/>
                <w:sz w:val="20"/>
              </w:rPr>
              <w:t>项目实施期限</w:t>
            </w:r>
            <w:r>
              <w:rPr>
                <w:rFonts w:ascii="黑体" w:hAnsi="黑体" w:eastAsia="黑体" w:cs="黑体"/>
                <w:b/>
                <w:sz w:val="20"/>
              </w:rPr>
              <w:br w:type="textWrapping"/>
            </w:r>
            <w:r>
              <w:rPr>
                <w:rFonts w:hint="eastAsia" w:ascii="黑体" w:hAnsi="黑体" w:eastAsia="黑体" w:cs="黑体"/>
                <w:b/>
                <w:sz w:val="20"/>
              </w:rPr>
              <w:t>（年月</w:t>
            </w:r>
            <w:r>
              <w:rPr>
                <w:rFonts w:ascii="黑体" w:hAnsi="黑体" w:eastAsia="黑体" w:cs="黑体"/>
                <w:b/>
                <w:sz w:val="20"/>
              </w:rPr>
              <w:t>—</w:t>
            </w:r>
            <w:r>
              <w:rPr>
                <w:rFonts w:hint="eastAsia" w:ascii="黑体" w:hAnsi="黑体" w:eastAsia="黑体" w:cs="黑体"/>
                <w:b/>
                <w:sz w:val="20"/>
              </w:rPr>
              <w:t>年月）</w:t>
            </w:r>
          </w:p>
        </w:tc>
        <w:tc>
          <w:tcPr>
            <w:tcW w:w="212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00" w:lineRule="exact"/>
              <w:jc w:val="center"/>
              <w:textAlignment w:val="center"/>
              <w:rPr>
                <w:rFonts w:ascii="黑体" w:hAnsi="黑体" w:eastAsia="黑体" w:cs="黑体"/>
                <w:b/>
                <w:sz w:val="20"/>
              </w:rPr>
            </w:pPr>
            <w:r>
              <w:rPr>
                <w:rFonts w:hint="eastAsia" w:ascii="黑体" w:hAnsi="黑体" w:eastAsia="黑体" w:cs="黑体"/>
                <w:b/>
                <w:sz w:val="20"/>
              </w:rPr>
              <w:t>项目资金投入及构成（万元）</w:t>
            </w:r>
          </w:p>
        </w:tc>
        <w:tc>
          <w:tcPr>
            <w:tcW w:w="170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00" w:lineRule="exact"/>
              <w:jc w:val="center"/>
              <w:textAlignment w:val="center"/>
              <w:rPr>
                <w:rFonts w:ascii="黑体" w:hAnsi="黑体" w:eastAsia="黑体" w:cs="黑体"/>
                <w:b/>
                <w:color w:val="FF0000"/>
                <w:sz w:val="20"/>
              </w:rPr>
            </w:pPr>
            <w:r>
              <w:rPr>
                <w:rFonts w:hint="eastAsia" w:ascii="黑体" w:hAnsi="黑体" w:eastAsia="黑体" w:cs="黑体"/>
                <w:b/>
                <w:sz w:val="20"/>
              </w:rPr>
              <w:t>拟补助资金（万元）</w:t>
            </w:r>
          </w:p>
        </w:tc>
        <w:tc>
          <w:tcPr>
            <w:tcW w:w="1134" w:type="dxa"/>
            <w:vMerge w:val="restart"/>
            <w:tcBorders>
              <w:top w:val="single" w:color="000000" w:sz="4" w:space="0"/>
              <w:left w:val="single" w:color="000000" w:sz="4" w:space="0"/>
              <w:right w:val="single" w:color="000000" w:sz="4" w:space="0"/>
            </w:tcBorders>
            <w:vAlign w:val="center"/>
          </w:tcPr>
          <w:p>
            <w:pPr>
              <w:autoSpaceDN w:val="0"/>
              <w:spacing w:line="200" w:lineRule="exact"/>
              <w:jc w:val="center"/>
              <w:textAlignment w:val="center"/>
              <w:rPr>
                <w:rFonts w:ascii="黑体" w:hAnsi="黑体" w:eastAsia="黑体" w:cs="黑体"/>
                <w:b/>
                <w:sz w:val="20"/>
              </w:rPr>
            </w:pPr>
            <w:r>
              <w:rPr>
                <w:rFonts w:hint="eastAsia" w:ascii="黑体" w:hAnsi="黑体" w:eastAsia="黑体" w:cs="黑体"/>
                <w:b/>
                <w:sz w:val="20"/>
              </w:rPr>
              <w:t>业主单位</w:t>
            </w:r>
          </w:p>
        </w:tc>
        <w:tc>
          <w:tcPr>
            <w:tcW w:w="992" w:type="dxa"/>
            <w:vMerge w:val="restart"/>
            <w:tcBorders>
              <w:top w:val="single" w:color="000000" w:sz="4" w:space="0"/>
              <w:left w:val="single" w:color="000000" w:sz="4" w:space="0"/>
              <w:right w:val="single" w:color="000000" w:sz="4" w:space="0"/>
            </w:tcBorders>
            <w:vAlign w:val="center"/>
          </w:tcPr>
          <w:p>
            <w:pPr>
              <w:autoSpaceDN w:val="0"/>
              <w:spacing w:line="200" w:lineRule="exact"/>
              <w:jc w:val="center"/>
              <w:textAlignment w:val="center"/>
              <w:rPr>
                <w:rFonts w:ascii="黑体" w:hAnsi="黑体" w:eastAsia="黑体" w:cs="黑体"/>
                <w:b/>
                <w:sz w:val="20"/>
              </w:rPr>
            </w:pPr>
            <w:r>
              <w:rPr>
                <w:rFonts w:hint="eastAsia" w:ascii="黑体" w:hAnsi="黑体" w:eastAsia="黑体" w:cs="黑体"/>
                <w:b/>
                <w:sz w:val="20"/>
              </w:rPr>
              <w:t>推进责任部门</w:t>
            </w:r>
          </w:p>
        </w:tc>
        <w:tc>
          <w:tcPr>
            <w:tcW w:w="567" w:type="dxa"/>
            <w:vMerge w:val="restart"/>
            <w:tcBorders>
              <w:top w:val="single" w:color="000000" w:sz="4" w:space="0"/>
              <w:left w:val="single" w:color="000000" w:sz="4" w:space="0"/>
              <w:right w:val="single" w:color="000000" w:sz="4" w:space="0"/>
            </w:tcBorders>
            <w:vAlign w:val="center"/>
          </w:tcPr>
          <w:p>
            <w:pPr>
              <w:autoSpaceDN w:val="0"/>
              <w:spacing w:line="200" w:lineRule="exact"/>
              <w:jc w:val="center"/>
              <w:textAlignment w:val="center"/>
              <w:rPr>
                <w:rFonts w:ascii="黑体" w:hAnsi="黑体" w:eastAsia="黑体" w:cs="黑体"/>
                <w:b/>
                <w:sz w:val="20"/>
              </w:rPr>
            </w:pPr>
            <w:r>
              <w:rPr>
                <w:rFonts w:hint="eastAsia" w:ascii="黑体" w:hAnsi="黑体" w:eastAsia="黑体" w:cs="黑体"/>
                <w:b/>
                <w:sz w:val="20"/>
              </w:rPr>
              <w:t>备注</w:t>
            </w:r>
          </w:p>
        </w:tc>
      </w:tr>
      <w:tr>
        <w:tblPrEx>
          <w:tblLayout w:type="fixed"/>
          <w:tblCellMar>
            <w:top w:w="0" w:type="dxa"/>
            <w:left w:w="108" w:type="dxa"/>
            <w:bottom w:w="0" w:type="dxa"/>
            <w:right w:w="108" w:type="dxa"/>
          </w:tblCellMar>
        </w:tblPrEx>
        <w:trPr>
          <w:trHeight w:val="90" w:hRule="atLeast"/>
        </w:trPr>
        <w:tc>
          <w:tcPr>
            <w:tcW w:w="478" w:type="dxa"/>
            <w:vMerge w:val="continue"/>
            <w:tcBorders>
              <w:top w:val="single" w:color="000000" w:sz="4" w:space="0"/>
              <w:left w:val="single" w:color="000000" w:sz="4" w:space="0"/>
              <w:bottom w:val="single" w:color="000000" w:sz="4" w:space="0"/>
              <w:right w:val="single" w:color="000000" w:sz="4" w:space="0"/>
            </w:tcBorders>
            <w:vAlign w:val="center"/>
          </w:tcPr>
          <w:p>
            <w:pPr>
              <w:rPr>
                <w:rFonts w:ascii="黑体" w:hAnsi="黑体" w:eastAsia="黑体" w:cs="黑体"/>
                <w:b/>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rPr>
                <w:rFonts w:ascii="黑体" w:hAnsi="黑体" w:eastAsia="黑体" w:cs="黑体"/>
                <w:b/>
              </w:rPr>
            </w:pPr>
          </w:p>
        </w:tc>
        <w:tc>
          <w:tcPr>
            <w:tcW w:w="3827" w:type="dxa"/>
            <w:vMerge w:val="continue"/>
            <w:tcBorders>
              <w:top w:val="single" w:color="000000" w:sz="4" w:space="0"/>
              <w:left w:val="single" w:color="000000" w:sz="4" w:space="0"/>
              <w:bottom w:val="single" w:color="000000" w:sz="4" w:space="0"/>
              <w:right w:val="single" w:color="000000" w:sz="4" w:space="0"/>
            </w:tcBorders>
            <w:vAlign w:val="center"/>
          </w:tcPr>
          <w:p>
            <w:pPr>
              <w:rPr>
                <w:rFonts w:ascii="黑体" w:hAnsi="黑体" w:eastAsia="黑体" w:cs="黑体"/>
                <w:b/>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rPr>
                <w:rFonts w:ascii="黑体" w:hAnsi="黑体" w:eastAsia="黑体" w:cs="黑体"/>
                <w:b/>
              </w:rPr>
            </w:pPr>
          </w:p>
        </w:tc>
        <w:tc>
          <w:tcPr>
            <w:tcW w:w="709" w:type="dxa"/>
            <w:vMerge w:val="restart"/>
            <w:tcBorders>
              <w:top w:val="single" w:color="000000" w:sz="4" w:space="0"/>
              <w:left w:val="single" w:color="000000" w:sz="4" w:space="0"/>
              <w:bottom w:val="single" w:color="000000" w:sz="4" w:space="0"/>
            </w:tcBorders>
            <w:vAlign w:val="center"/>
          </w:tcPr>
          <w:p>
            <w:pPr>
              <w:autoSpaceDN w:val="0"/>
              <w:spacing w:line="200" w:lineRule="exact"/>
              <w:jc w:val="center"/>
              <w:textAlignment w:val="center"/>
              <w:rPr>
                <w:rFonts w:ascii="黑体" w:hAnsi="黑体" w:eastAsia="黑体" w:cs="黑体"/>
                <w:b/>
                <w:sz w:val="20"/>
              </w:rPr>
            </w:pPr>
            <w:r>
              <w:rPr>
                <w:rFonts w:hint="eastAsia" w:ascii="黑体" w:hAnsi="黑体" w:eastAsia="黑体" w:cs="黑体"/>
                <w:b/>
                <w:sz w:val="20"/>
              </w:rPr>
              <w:t>总投资额</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黑体" w:hAnsi="黑体" w:eastAsia="黑体" w:cs="黑体"/>
                <w:b/>
                <w:sz w:val="20"/>
              </w:rPr>
            </w:pPr>
            <w:r>
              <w:rPr>
                <w:rFonts w:hint="eastAsia" w:ascii="黑体" w:hAnsi="黑体" w:eastAsia="黑体" w:cs="黑体"/>
                <w:b/>
                <w:sz w:val="20"/>
              </w:rPr>
              <w:t>其中</w:t>
            </w:r>
          </w:p>
        </w:tc>
        <w:tc>
          <w:tcPr>
            <w:tcW w:w="850" w:type="dxa"/>
            <w:vMerge w:val="restart"/>
            <w:tcBorders>
              <w:top w:val="single" w:color="000000" w:sz="4" w:space="0"/>
              <w:left w:val="single" w:color="000000" w:sz="4" w:space="0"/>
              <w:right w:val="single" w:color="000000" w:sz="4" w:space="0"/>
            </w:tcBorders>
            <w:vAlign w:val="center"/>
          </w:tcPr>
          <w:p>
            <w:pPr>
              <w:autoSpaceDN w:val="0"/>
              <w:spacing w:line="200" w:lineRule="exact"/>
              <w:jc w:val="center"/>
              <w:textAlignment w:val="center"/>
              <w:rPr>
                <w:rFonts w:ascii="黑体" w:hAnsi="黑体" w:eastAsia="黑体" w:cs="黑体"/>
                <w:b/>
                <w:sz w:val="20"/>
              </w:rPr>
            </w:pPr>
            <w:r>
              <w:rPr>
                <w:rFonts w:hint="eastAsia" w:ascii="黑体" w:hAnsi="黑体" w:eastAsia="黑体" w:cs="黑体"/>
                <w:b/>
                <w:sz w:val="20"/>
              </w:rPr>
              <w:t>省级补助资金</w:t>
            </w:r>
          </w:p>
        </w:tc>
        <w:tc>
          <w:tcPr>
            <w:tcW w:w="851" w:type="dxa"/>
            <w:vMerge w:val="restart"/>
            <w:tcBorders>
              <w:top w:val="single" w:color="000000" w:sz="4" w:space="0"/>
              <w:left w:val="single" w:color="000000" w:sz="4" w:space="0"/>
              <w:right w:val="single" w:color="000000" w:sz="4" w:space="0"/>
            </w:tcBorders>
            <w:vAlign w:val="center"/>
          </w:tcPr>
          <w:p>
            <w:pPr>
              <w:autoSpaceDN w:val="0"/>
              <w:spacing w:line="200" w:lineRule="exact"/>
              <w:jc w:val="center"/>
              <w:textAlignment w:val="center"/>
              <w:rPr>
                <w:rFonts w:ascii="黑体" w:hAnsi="黑体" w:eastAsia="黑体" w:cs="黑体"/>
                <w:b/>
                <w:color w:val="FF0000"/>
                <w:sz w:val="20"/>
              </w:rPr>
            </w:pPr>
            <w:r>
              <w:rPr>
                <w:rFonts w:hint="eastAsia" w:ascii="黑体" w:hAnsi="黑体" w:eastAsia="黑体" w:cs="黑体"/>
                <w:b/>
                <w:sz w:val="20"/>
              </w:rPr>
              <w:t>地方配套资金</w:t>
            </w:r>
          </w:p>
        </w:tc>
        <w:tc>
          <w:tcPr>
            <w:tcW w:w="1134" w:type="dxa"/>
            <w:vMerge w:val="continue"/>
            <w:tcBorders>
              <w:left w:val="single" w:color="000000" w:sz="4" w:space="0"/>
              <w:right w:val="single" w:color="000000" w:sz="4" w:space="0"/>
            </w:tcBorders>
            <w:vAlign w:val="center"/>
          </w:tcPr>
          <w:p>
            <w:pPr>
              <w:autoSpaceDN w:val="0"/>
              <w:rPr>
                <w:rFonts w:ascii="黑体" w:hAnsi="黑体" w:eastAsia="黑体" w:cs="黑体"/>
                <w:b/>
              </w:rPr>
            </w:pPr>
          </w:p>
        </w:tc>
        <w:tc>
          <w:tcPr>
            <w:tcW w:w="992" w:type="dxa"/>
            <w:vMerge w:val="continue"/>
            <w:tcBorders>
              <w:left w:val="single" w:color="000000" w:sz="4" w:space="0"/>
              <w:right w:val="single" w:color="000000" w:sz="4" w:space="0"/>
            </w:tcBorders>
            <w:vAlign w:val="center"/>
          </w:tcPr>
          <w:p>
            <w:pPr>
              <w:autoSpaceDN w:val="0"/>
              <w:rPr>
                <w:rFonts w:ascii="黑体" w:hAnsi="黑体" w:eastAsia="黑体" w:cs="黑体"/>
                <w:b/>
              </w:rPr>
            </w:pPr>
          </w:p>
        </w:tc>
        <w:tc>
          <w:tcPr>
            <w:tcW w:w="567" w:type="dxa"/>
            <w:vMerge w:val="continue"/>
            <w:tcBorders>
              <w:left w:val="single" w:color="000000" w:sz="4" w:space="0"/>
              <w:right w:val="single" w:color="000000" w:sz="4" w:space="0"/>
            </w:tcBorders>
            <w:vAlign w:val="center"/>
          </w:tcPr>
          <w:p>
            <w:pPr>
              <w:autoSpaceDN w:val="0"/>
              <w:rPr>
                <w:rFonts w:ascii="黑体" w:hAnsi="黑体" w:eastAsia="黑体" w:cs="黑体"/>
                <w:b/>
              </w:rPr>
            </w:pPr>
          </w:p>
        </w:tc>
      </w:tr>
      <w:tr>
        <w:tblPrEx>
          <w:tblLayout w:type="fixed"/>
          <w:tblCellMar>
            <w:top w:w="0" w:type="dxa"/>
            <w:left w:w="108" w:type="dxa"/>
            <w:bottom w:w="0" w:type="dxa"/>
            <w:right w:w="108" w:type="dxa"/>
          </w:tblCellMar>
        </w:tblPrEx>
        <w:trPr>
          <w:trHeight w:val="90" w:hRule="atLeast"/>
        </w:trPr>
        <w:tc>
          <w:tcPr>
            <w:tcW w:w="478" w:type="dxa"/>
            <w:vMerge w:val="continue"/>
            <w:tcBorders>
              <w:top w:val="single" w:color="000000" w:sz="4" w:space="0"/>
              <w:left w:val="single" w:color="000000" w:sz="4" w:space="0"/>
              <w:bottom w:val="single" w:color="000000" w:sz="4" w:space="0"/>
              <w:right w:val="single" w:color="000000" w:sz="4" w:space="0"/>
            </w:tcBorders>
            <w:vAlign w:val="center"/>
          </w:tcPr>
          <w:p>
            <w:pPr>
              <w:rPr>
                <w:rFonts w:ascii="黑体" w:hAnsi="黑体" w:eastAsia="黑体" w:cs="黑体"/>
                <w:b/>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rPr>
                <w:rFonts w:ascii="黑体" w:hAnsi="黑体" w:eastAsia="黑体" w:cs="黑体"/>
                <w:b/>
              </w:rPr>
            </w:pPr>
          </w:p>
        </w:tc>
        <w:tc>
          <w:tcPr>
            <w:tcW w:w="3827" w:type="dxa"/>
            <w:vMerge w:val="continue"/>
            <w:tcBorders>
              <w:top w:val="single" w:color="000000" w:sz="4" w:space="0"/>
              <w:left w:val="single" w:color="000000" w:sz="4" w:space="0"/>
              <w:bottom w:val="single" w:color="000000" w:sz="4" w:space="0"/>
              <w:right w:val="single" w:color="000000" w:sz="4" w:space="0"/>
            </w:tcBorders>
            <w:vAlign w:val="center"/>
          </w:tcPr>
          <w:p>
            <w:pPr>
              <w:rPr>
                <w:rFonts w:ascii="黑体" w:hAnsi="黑体" w:eastAsia="黑体" w:cs="黑体"/>
                <w:b/>
              </w:rPr>
            </w:pP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rPr>
                <w:rFonts w:ascii="黑体" w:hAnsi="黑体" w:eastAsia="黑体" w:cs="黑体"/>
                <w:b/>
              </w:rPr>
            </w:pPr>
          </w:p>
        </w:tc>
        <w:tc>
          <w:tcPr>
            <w:tcW w:w="709" w:type="dxa"/>
            <w:vMerge w:val="continue"/>
            <w:tcBorders>
              <w:top w:val="single" w:color="000000" w:sz="4" w:space="0"/>
              <w:left w:val="single" w:color="000000" w:sz="4" w:space="0"/>
              <w:bottom w:val="single" w:color="000000" w:sz="4" w:space="0"/>
            </w:tcBorders>
            <w:vAlign w:val="center"/>
          </w:tcPr>
          <w:p>
            <w:pPr>
              <w:rPr>
                <w:rFonts w:ascii="黑体" w:hAnsi="黑体" w:eastAsia="黑体" w:cs="黑体"/>
                <w:b/>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200" w:lineRule="exact"/>
              <w:jc w:val="center"/>
              <w:textAlignment w:val="center"/>
              <w:rPr>
                <w:rFonts w:ascii="黑体" w:hAnsi="黑体" w:eastAsia="黑体" w:cs="黑体"/>
                <w:b/>
                <w:sz w:val="20"/>
              </w:rPr>
            </w:pPr>
            <w:r>
              <w:rPr>
                <w:rFonts w:hint="eastAsia" w:ascii="黑体" w:hAnsi="黑体" w:eastAsia="黑体" w:cs="黑体"/>
                <w:b/>
                <w:sz w:val="20"/>
              </w:rPr>
              <w:t>企业</w:t>
            </w:r>
            <w:r>
              <w:rPr>
                <w:rFonts w:ascii="黑体" w:hAnsi="黑体" w:eastAsia="黑体" w:cs="黑体"/>
                <w:b/>
                <w:sz w:val="20"/>
              </w:rPr>
              <w:br w:type="textWrapping"/>
            </w:r>
            <w:r>
              <w:rPr>
                <w:rFonts w:hint="eastAsia" w:ascii="黑体" w:hAnsi="黑体" w:eastAsia="黑体" w:cs="黑体"/>
                <w:b/>
                <w:sz w:val="20"/>
              </w:rPr>
              <w:t>自筹</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200" w:lineRule="exact"/>
              <w:jc w:val="center"/>
              <w:textAlignment w:val="center"/>
              <w:rPr>
                <w:rFonts w:ascii="黑体" w:hAnsi="黑体" w:eastAsia="黑体" w:cs="黑体"/>
                <w:b/>
                <w:sz w:val="20"/>
              </w:rPr>
            </w:pPr>
            <w:r>
              <w:rPr>
                <w:rFonts w:hint="eastAsia" w:ascii="黑体" w:hAnsi="黑体" w:eastAsia="黑体" w:cs="黑体"/>
                <w:b/>
                <w:sz w:val="20"/>
              </w:rPr>
              <w:t>银行</w:t>
            </w:r>
            <w:r>
              <w:rPr>
                <w:rFonts w:ascii="黑体" w:hAnsi="黑体" w:eastAsia="黑体" w:cs="黑体"/>
                <w:b/>
                <w:sz w:val="20"/>
              </w:rPr>
              <w:br w:type="textWrapping"/>
            </w:r>
            <w:r>
              <w:rPr>
                <w:rFonts w:hint="eastAsia" w:ascii="黑体" w:hAnsi="黑体" w:eastAsia="黑体" w:cs="黑体"/>
                <w:b/>
                <w:sz w:val="20"/>
              </w:rPr>
              <w:t>贷款</w:t>
            </w:r>
          </w:p>
        </w:tc>
        <w:tc>
          <w:tcPr>
            <w:tcW w:w="850" w:type="dxa"/>
            <w:vMerge w:val="continue"/>
            <w:tcBorders>
              <w:left w:val="single" w:color="000000" w:sz="4" w:space="0"/>
              <w:bottom w:val="single" w:color="000000" w:sz="4" w:space="0"/>
              <w:right w:val="single" w:color="000000" w:sz="4" w:space="0"/>
            </w:tcBorders>
            <w:vAlign w:val="center"/>
          </w:tcPr>
          <w:p>
            <w:pPr>
              <w:autoSpaceDN w:val="0"/>
              <w:jc w:val="center"/>
              <w:textAlignment w:val="center"/>
              <w:rPr>
                <w:rFonts w:ascii="黑体" w:hAnsi="黑体" w:eastAsia="黑体" w:cs="黑体"/>
                <w:b/>
                <w:sz w:val="20"/>
              </w:rPr>
            </w:pPr>
          </w:p>
        </w:tc>
        <w:tc>
          <w:tcPr>
            <w:tcW w:w="851" w:type="dxa"/>
            <w:vMerge w:val="continue"/>
            <w:tcBorders>
              <w:left w:val="single" w:color="000000" w:sz="4" w:space="0"/>
              <w:bottom w:val="single" w:color="000000" w:sz="4" w:space="0"/>
              <w:right w:val="single" w:color="000000" w:sz="4" w:space="0"/>
            </w:tcBorders>
            <w:vAlign w:val="center"/>
          </w:tcPr>
          <w:p>
            <w:pPr>
              <w:autoSpaceDN w:val="0"/>
              <w:jc w:val="center"/>
              <w:textAlignment w:val="center"/>
              <w:rPr>
                <w:rFonts w:ascii="黑体" w:hAnsi="黑体" w:eastAsia="黑体" w:cs="黑体"/>
                <w:b/>
                <w:sz w:val="20"/>
              </w:rPr>
            </w:pPr>
          </w:p>
        </w:tc>
        <w:tc>
          <w:tcPr>
            <w:tcW w:w="1134" w:type="dxa"/>
            <w:vMerge w:val="continue"/>
            <w:tcBorders>
              <w:left w:val="single" w:color="000000" w:sz="4" w:space="0"/>
              <w:bottom w:val="single" w:color="000000" w:sz="4" w:space="0"/>
              <w:right w:val="single" w:color="000000" w:sz="4" w:space="0"/>
            </w:tcBorders>
            <w:vAlign w:val="center"/>
          </w:tcPr>
          <w:p>
            <w:pPr>
              <w:autoSpaceDN w:val="0"/>
              <w:rPr>
                <w:rFonts w:ascii="黑体" w:hAnsi="黑体" w:eastAsia="黑体" w:cs="黑体"/>
                <w:b/>
              </w:rPr>
            </w:pPr>
          </w:p>
        </w:tc>
        <w:tc>
          <w:tcPr>
            <w:tcW w:w="992" w:type="dxa"/>
            <w:vMerge w:val="continue"/>
            <w:tcBorders>
              <w:left w:val="single" w:color="000000" w:sz="4" w:space="0"/>
              <w:bottom w:val="single" w:color="000000" w:sz="4" w:space="0"/>
              <w:right w:val="single" w:color="000000" w:sz="4" w:space="0"/>
            </w:tcBorders>
            <w:vAlign w:val="center"/>
          </w:tcPr>
          <w:p>
            <w:pPr>
              <w:autoSpaceDN w:val="0"/>
              <w:rPr>
                <w:rFonts w:ascii="黑体" w:hAnsi="黑体" w:eastAsia="黑体" w:cs="黑体"/>
                <w:b/>
              </w:rPr>
            </w:pPr>
          </w:p>
        </w:tc>
        <w:tc>
          <w:tcPr>
            <w:tcW w:w="567" w:type="dxa"/>
            <w:vMerge w:val="continue"/>
            <w:tcBorders>
              <w:left w:val="single" w:color="000000" w:sz="4" w:space="0"/>
              <w:bottom w:val="single" w:color="000000" w:sz="4" w:space="0"/>
              <w:right w:val="single" w:color="000000" w:sz="4" w:space="0"/>
            </w:tcBorders>
            <w:vAlign w:val="center"/>
          </w:tcPr>
          <w:p>
            <w:pPr>
              <w:autoSpaceDN w:val="0"/>
              <w:rPr>
                <w:rFonts w:ascii="黑体" w:hAnsi="黑体" w:eastAsia="黑体" w:cs="黑体"/>
                <w:b/>
              </w:rPr>
            </w:pPr>
          </w:p>
        </w:tc>
      </w:tr>
      <w:tr>
        <w:tblPrEx>
          <w:tblLayout w:type="fixed"/>
          <w:tblCellMar>
            <w:top w:w="0" w:type="dxa"/>
            <w:left w:w="108" w:type="dxa"/>
            <w:bottom w:w="0" w:type="dxa"/>
            <w:right w:w="108" w:type="dxa"/>
          </w:tblCellMar>
        </w:tblPrEx>
        <w:trPr>
          <w:trHeight w:val="358" w:hRule="atLeast"/>
        </w:trPr>
        <w:tc>
          <w:tcPr>
            <w:tcW w:w="4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hAnsi="宋体"/>
                <w:sz w:val="18"/>
              </w:rPr>
              <w:t>1</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18"/>
              </w:rPr>
            </w:pPr>
            <w:r>
              <w:rPr>
                <w:rFonts w:hint="eastAsia" w:ascii="宋体" w:hAnsi="宋体"/>
                <w:sz w:val="18"/>
              </w:rPr>
              <w:t>罗城古镇特色商业街</w:t>
            </w:r>
            <w:r>
              <w:rPr>
                <w:rFonts w:ascii="宋体" w:hAnsi="宋体"/>
                <w:sz w:val="18"/>
              </w:rPr>
              <w:t>(</w:t>
            </w:r>
            <w:r>
              <w:rPr>
                <w:rFonts w:hint="eastAsia" w:ascii="宋体" w:hAnsi="宋体"/>
                <w:sz w:val="18"/>
              </w:rPr>
              <w:t>一期</w:t>
            </w:r>
            <w:r>
              <w:rPr>
                <w:rFonts w:ascii="宋体" w:hAnsi="宋体"/>
                <w:sz w:val="18"/>
              </w:rPr>
              <w:t>)</w:t>
            </w:r>
            <w:r>
              <w:rPr>
                <w:rFonts w:hint="eastAsia" w:ascii="宋体" w:hAnsi="宋体"/>
                <w:sz w:val="18"/>
              </w:rPr>
              <w:t>提升改造项目</w:t>
            </w:r>
          </w:p>
        </w:tc>
        <w:tc>
          <w:tcPr>
            <w:tcW w:w="382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18"/>
              </w:rPr>
            </w:pPr>
            <w:r>
              <w:rPr>
                <w:rFonts w:hint="eastAsia" w:ascii="宋体" w:hAnsi="宋体"/>
                <w:sz w:val="18"/>
              </w:rPr>
              <w:t>特色旅游商品购物中心提升改造、特色商业街风貌改造（包括上节街、新街、过街楼街、水巷子）、导视系统、智慧旅游系统等配套设施设备购置。</w:t>
            </w: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hAnsi="宋体"/>
                <w:sz w:val="18"/>
              </w:rPr>
              <w:t>2017</w:t>
            </w:r>
            <w:r>
              <w:rPr>
                <w:rFonts w:hint="eastAsia" w:ascii="宋体" w:hAnsi="宋体"/>
                <w:sz w:val="18"/>
              </w:rPr>
              <w:t>年</w:t>
            </w:r>
            <w:r>
              <w:rPr>
                <w:rFonts w:ascii="宋体" w:hAnsi="宋体"/>
                <w:sz w:val="18"/>
              </w:rPr>
              <w:t>3</w:t>
            </w:r>
            <w:r>
              <w:rPr>
                <w:rFonts w:hint="eastAsia" w:ascii="宋体" w:hAnsi="宋体"/>
                <w:sz w:val="18"/>
              </w:rPr>
              <w:t>月至</w:t>
            </w:r>
            <w:r>
              <w:rPr>
                <w:rFonts w:ascii="宋体" w:hAnsi="宋体"/>
                <w:sz w:val="18"/>
              </w:rPr>
              <w:t>2018</w:t>
            </w:r>
            <w:r>
              <w:rPr>
                <w:rFonts w:hint="eastAsia" w:ascii="宋体" w:hAnsi="宋体"/>
                <w:sz w:val="18"/>
              </w:rPr>
              <w:t>年</w:t>
            </w:r>
            <w:r>
              <w:rPr>
                <w:rFonts w:ascii="宋体" w:hAnsi="宋体"/>
                <w:sz w:val="18"/>
              </w:rPr>
              <w:t>12</w:t>
            </w:r>
            <w:r>
              <w:rPr>
                <w:rFonts w:hint="eastAsia" w:ascii="宋体" w:hAnsi="宋体"/>
                <w:sz w:val="18"/>
              </w:rPr>
              <w:t>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hAnsi="宋体"/>
                <w:sz w:val="18"/>
              </w:rPr>
              <w:t>85</w:t>
            </w:r>
            <w:r>
              <w:rPr>
                <w:rFonts w:ascii="宋体"/>
                <w:sz w:val="18"/>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hAnsi="宋体"/>
                <w:sz w:val="18"/>
              </w:rPr>
              <w:t>85</w:t>
            </w:r>
            <w:r>
              <w:rPr>
                <w:rFonts w:ascii="宋体"/>
                <w:sz w:val="18"/>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sz w:val="18"/>
              </w:rPr>
              <w:t>0</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sz w:val="18"/>
              </w:rPr>
              <w:t>330</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sz w:val="18"/>
              </w:rPr>
              <w:t>0</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18"/>
              </w:rPr>
            </w:pPr>
            <w:r>
              <w:rPr>
                <w:rFonts w:hint="eastAsia" w:ascii="宋体" w:hAnsi="宋体"/>
                <w:sz w:val="18"/>
              </w:rPr>
              <w:t>乐山犍为世纪旅游发展有限公司</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hint="eastAsia" w:ascii="宋体" w:hAnsi="宋体"/>
                <w:sz w:val="18"/>
              </w:rPr>
              <w:t>犍为县商务和投资促进局</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p>
        </w:tc>
      </w:tr>
      <w:tr>
        <w:tblPrEx>
          <w:tblLayout w:type="fixed"/>
          <w:tblCellMar>
            <w:top w:w="0" w:type="dxa"/>
            <w:left w:w="108" w:type="dxa"/>
            <w:bottom w:w="0" w:type="dxa"/>
            <w:right w:w="108" w:type="dxa"/>
          </w:tblCellMar>
        </w:tblPrEx>
        <w:trPr>
          <w:trHeight w:val="245" w:hRule="atLeast"/>
        </w:trPr>
        <w:tc>
          <w:tcPr>
            <w:tcW w:w="4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hAnsi="宋体"/>
                <w:sz w:val="18"/>
              </w:rPr>
              <w:t>2</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18"/>
              </w:rPr>
            </w:pPr>
            <w:r>
              <w:rPr>
                <w:rFonts w:hint="eastAsia" w:ascii="宋体" w:hAnsi="宋体"/>
                <w:sz w:val="18"/>
              </w:rPr>
              <w:t>花金有机农业观光园</w:t>
            </w:r>
            <w:r>
              <w:rPr>
                <w:rFonts w:ascii="宋体" w:hAnsi="宋体"/>
                <w:sz w:val="18"/>
              </w:rPr>
              <w:t>——</w:t>
            </w:r>
            <w:r>
              <w:rPr>
                <w:rFonts w:hint="eastAsia" w:ascii="宋体" w:hAnsi="宋体"/>
                <w:sz w:val="18"/>
              </w:rPr>
              <w:t>乡村特色旅游服务融合发展项目</w:t>
            </w:r>
          </w:p>
        </w:tc>
        <w:tc>
          <w:tcPr>
            <w:tcW w:w="382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18"/>
              </w:rPr>
            </w:pPr>
            <w:r>
              <w:rPr>
                <w:rFonts w:hint="eastAsia" w:ascii="宋体" w:hAnsi="宋体"/>
                <w:sz w:val="18"/>
              </w:rPr>
              <w:t>乡村特色旅游场所提升改造，包括：购物、住宿、餐饮、观光体验等场所装修及配套设施设备购置。</w:t>
            </w: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hAnsi="宋体"/>
                <w:sz w:val="18"/>
              </w:rPr>
              <w:t>2017</w:t>
            </w:r>
            <w:r>
              <w:rPr>
                <w:rFonts w:hint="eastAsia" w:ascii="宋体" w:hAnsi="宋体"/>
                <w:sz w:val="18"/>
              </w:rPr>
              <w:t>年</w:t>
            </w:r>
            <w:r>
              <w:rPr>
                <w:rFonts w:ascii="宋体" w:hAnsi="宋体"/>
                <w:sz w:val="18"/>
              </w:rPr>
              <w:t>10</w:t>
            </w:r>
            <w:r>
              <w:rPr>
                <w:rFonts w:hint="eastAsia" w:ascii="宋体" w:hAnsi="宋体"/>
                <w:sz w:val="18"/>
              </w:rPr>
              <w:t>月至</w:t>
            </w:r>
            <w:r>
              <w:rPr>
                <w:rFonts w:ascii="宋体" w:hAnsi="宋体"/>
                <w:sz w:val="18"/>
              </w:rPr>
              <w:t>2018</w:t>
            </w:r>
            <w:r>
              <w:rPr>
                <w:rFonts w:hint="eastAsia" w:ascii="宋体" w:hAnsi="宋体"/>
                <w:sz w:val="18"/>
              </w:rPr>
              <w:t>年</w:t>
            </w:r>
            <w:r>
              <w:rPr>
                <w:rFonts w:ascii="宋体" w:hAnsi="宋体"/>
                <w:sz w:val="18"/>
              </w:rPr>
              <w:t>12</w:t>
            </w:r>
            <w:r>
              <w:rPr>
                <w:rFonts w:hint="eastAsia" w:ascii="宋体" w:hAnsi="宋体"/>
                <w:sz w:val="18"/>
              </w:rPr>
              <w:t>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hAnsi="宋体"/>
                <w:sz w:val="18"/>
              </w:rPr>
              <w:t>35</w:t>
            </w:r>
            <w:r>
              <w:rPr>
                <w:rFonts w:ascii="宋体"/>
                <w:sz w:val="18"/>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hAnsi="宋体"/>
                <w:sz w:val="18"/>
              </w:rPr>
              <w:t>35</w:t>
            </w:r>
            <w:r>
              <w:rPr>
                <w:rFonts w:ascii="宋体"/>
                <w:sz w:val="18"/>
              </w:rPr>
              <w:t>0</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sz w:val="18"/>
              </w:rPr>
              <w:t>0</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sz w:val="18"/>
              </w:rPr>
              <w:t>130</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sz w:val="18"/>
              </w:rPr>
              <w:t>0</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18"/>
              </w:rPr>
            </w:pPr>
            <w:r>
              <w:rPr>
                <w:rFonts w:hint="eastAsia" w:ascii="宋体" w:hAnsi="宋体"/>
                <w:sz w:val="18"/>
              </w:rPr>
              <w:t>乐山市锦陈生态农业有限公司</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hint="eastAsia" w:ascii="宋体" w:hAnsi="宋体"/>
                <w:sz w:val="18"/>
              </w:rPr>
              <w:t>犍为县商务和投资促进局</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p>
        </w:tc>
      </w:tr>
      <w:tr>
        <w:tblPrEx>
          <w:tblLayout w:type="fixed"/>
          <w:tblCellMar>
            <w:top w:w="0" w:type="dxa"/>
            <w:left w:w="108" w:type="dxa"/>
            <w:bottom w:w="0" w:type="dxa"/>
            <w:right w:w="108" w:type="dxa"/>
          </w:tblCellMar>
        </w:tblPrEx>
        <w:trPr>
          <w:trHeight w:val="90" w:hRule="atLeast"/>
        </w:trPr>
        <w:tc>
          <w:tcPr>
            <w:tcW w:w="47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hAnsi="宋体"/>
                <w:sz w:val="18"/>
              </w:rPr>
              <w:t>3</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18"/>
              </w:rPr>
            </w:pPr>
            <w:r>
              <w:rPr>
                <w:rFonts w:hint="eastAsia" w:ascii="宋体" w:hAnsi="宋体"/>
                <w:sz w:val="18"/>
              </w:rPr>
              <w:t>酒店文化餐厅及特色旅游商品展销大厅升级改造项目</w:t>
            </w:r>
          </w:p>
        </w:tc>
        <w:tc>
          <w:tcPr>
            <w:tcW w:w="382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18"/>
              </w:rPr>
            </w:pPr>
            <w:r>
              <w:rPr>
                <w:rFonts w:hint="eastAsia" w:ascii="宋体" w:hAnsi="宋体"/>
                <w:sz w:val="18"/>
              </w:rPr>
              <w:t>文化餐厅及特色旅游商品展销大厅装修改造及配套设施设备购置。</w:t>
            </w:r>
            <w:r>
              <w:rPr>
                <w:rFonts w:ascii="宋体" w:hAnsi="宋体"/>
                <w:sz w:val="18"/>
              </w:rPr>
              <w:t xml:space="preserve"> </w:t>
            </w: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hAnsi="宋体"/>
                <w:sz w:val="18"/>
              </w:rPr>
              <w:t>2018</w:t>
            </w:r>
            <w:r>
              <w:rPr>
                <w:rFonts w:hint="eastAsia" w:ascii="宋体" w:hAnsi="宋体"/>
                <w:sz w:val="18"/>
              </w:rPr>
              <w:t>年</w:t>
            </w:r>
            <w:r>
              <w:rPr>
                <w:rFonts w:ascii="宋体" w:hAnsi="宋体"/>
                <w:sz w:val="18"/>
              </w:rPr>
              <w:t>7</w:t>
            </w:r>
            <w:r>
              <w:rPr>
                <w:rFonts w:hint="eastAsia" w:ascii="宋体" w:hAnsi="宋体"/>
                <w:sz w:val="18"/>
              </w:rPr>
              <w:t>月至</w:t>
            </w:r>
            <w:r>
              <w:rPr>
                <w:rFonts w:ascii="宋体" w:hAnsi="宋体"/>
                <w:sz w:val="18"/>
              </w:rPr>
              <w:t>2018</w:t>
            </w:r>
            <w:r>
              <w:rPr>
                <w:rFonts w:hint="eastAsia" w:ascii="宋体" w:hAnsi="宋体"/>
                <w:sz w:val="18"/>
              </w:rPr>
              <w:t>年</w:t>
            </w:r>
            <w:r>
              <w:rPr>
                <w:rFonts w:ascii="宋体" w:hAnsi="宋体"/>
                <w:sz w:val="18"/>
              </w:rPr>
              <w:t>12</w:t>
            </w:r>
            <w:r>
              <w:rPr>
                <w:rFonts w:hint="eastAsia" w:ascii="宋体" w:hAnsi="宋体"/>
                <w:sz w:val="18"/>
              </w:rPr>
              <w:t>月</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hAnsi="宋体"/>
                <w:sz w:val="18"/>
              </w:rPr>
              <w:t>110</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hAnsi="宋体"/>
                <w:sz w:val="18"/>
              </w:rPr>
              <w:t>110</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sz w:val="18"/>
              </w:rPr>
              <w:t>0</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sz w:val="18"/>
              </w:rPr>
              <w:t>40</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sz w:val="18"/>
              </w:rPr>
              <w:t>0</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18"/>
              </w:rPr>
            </w:pPr>
            <w:r>
              <w:rPr>
                <w:rFonts w:hint="eastAsia" w:ascii="宋体" w:hAnsi="宋体"/>
                <w:sz w:val="18"/>
              </w:rPr>
              <w:t>犍为县利昂酒店管理有限公司</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hint="eastAsia" w:ascii="宋体" w:hAnsi="宋体"/>
                <w:sz w:val="18"/>
              </w:rPr>
              <w:t>犍为县商务和投资促进局</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p>
        </w:tc>
      </w:tr>
      <w:tr>
        <w:tblPrEx>
          <w:tblLayout w:type="fixed"/>
          <w:tblCellMar>
            <w:top w:w="0" w:type="dxa"/>
            <w:left w:w="108" w:type="dxa"/>
            <w:bottom w:w="0" w:type="dxa"/>
            <w:right w:w="108" w:type="dxa"/>
          </w:tblCellMar>
        </w:tblPrEx>
        <w:trPr>
          <w:trHeight w:val="769" w:hRule="atLeast"/>
        </w:trPr>
        <w:tc>
          <w:tcPr>
            <w:tcW w:w="2179"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hint="eastAsia" w:ascii="宋体" w:hAnsi="宋体"/>
                <w:b/>
                <w:sz w:val="18"/>
              </w:rPr>
              <w:t>合计</w:t>
            </w:r>
          </w:p>
        </w:tc>
        <w:tc>
          <w:tcPr>
            <w:tcW w:w="3827"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hAnsi="宋体"/>
                <w:sz w:val="18"/>
              </w:rPr>
              <w:t>1310</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hAnsi="宋体"/>
                <w:sz w:val="18"/>
              </w:rPr>
              <w:t>1310</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sz w:val="18"/>
              </w:rPr>
              <w:t>0</w:t>
            </w:r>
          </w:p>
        </w:tc>
        <w:tc>
          <w:tcPr>
            <w:tcW w:w="85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sz w:val="18"/>
              </w:rPr>
              <w:t>500</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r>
              <w:rPr>
                <w:rFonts w:ascii="宋体"/>
                <w:sz w:val="18"/>
              </w:rPr>
              <w:t>0</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ascii="宋体"/>
                <w:sz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sz w:val="18"/>
              </w:rPr>
            </w:pPr>
          </w:p>
        </w:tc>
      </w:tr>
    </w:tbl>
    <w:p>
      <w:pPr>
        <w:spacing w:line="560" w:lineRule="exact"/>
        <w:jc w:val="left"/>
      </w:pPr>
    </w:p>
    <w:p>
      <w:pPr>
        <w:ind w:firstLine="640" w:firstLineChars="200"/>
        <w:rPr>
          <w:rFonts w:ascii="仿宋_GB2312" w:hAnsi="仿宋_GB2312" w:eastAsia="仿宋_GB2312" w:cs="仿宋_GB2312"/>
          <w:sz w:val="32"/>
          <w:szCs w:val="28"/>
        </w:rPr>
      </w:pPr>
    </w:p>
    <w:sectPr>
      <w:headerReference r:id="rId9" w:type="default"/>
      <w:footerReference r:id="rId10" w:type="default"/>
      <w:pgSz w:w="16838" w:h="11906" w:orient="landscape"/>
      <w:pgMar w:top="1800" w:right="1440" w:bottom="1558"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49F5B34"/>
    <w:rsid w:val="00336636"/>
    <w:rsid w:val="00357E0D"/>
    <w:rsid w:val="00387295"/>
    <w:rsid w:val="0069263F"/>
    <w:rsid w:val="0077794B"/>
    <w:rsid w:val="1DAA4CF6"/>
    <w:rsid w:val="280B021D"/>
    <w:rsid w:val="4F0D36DD"/>
    <w:rsid w:val="649F5B34"/>
    <w:rsid w:val="6D53502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semiHidden/>
    <w:uiPriority w:val="99"/>
    <w:rPr>
      <w:sz w:val="18"/>
      <w:szCs w:val="18"/>
    </w:rPr>
  </w:style>
  <w:style w:type="character" w:customStyle="1" w:styleId="7">
    <w:name w:val="Header Char"/>
    <w:basedOn w:val="4"/>
    <w:link w:val="3"/>
    <w:semiHidden/>
    <w:qFormat/>
    <w:uiPriority w:val="99"/>
    <w:rPr>
      <w:sz w:val="18"/>
      <w:szCs w:val="18"/>
    </w:rPr>
  </w:style>
  <w:style w:type="paragraph" w:customStyle="1" w:styleId="8">
    <w:name w:val="正文 New New New New New New New New New New New"/>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137</Words>
  <Characters>787</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2018-07-02T01:34:00Z</dcterms:created>
  <dc:creator>我来也</dc:creator>
  <cp:lastModifiedBy>tf</cp:lastModifiedBy>
  <dcterms:modified xsi:type="dcterms:W3CDTF">2018-07-02T07:27:34Z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