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hint="eastAsia" w:ascii="仿宋_GB2312" w:hAnsi="仿宋_GB2312" w:eastAsia="仿宋_GB2312" w:cs="仿宋_GB2312"/>
          <w:color w:val="auto"/>
          <w:sz w:val="36"/>
          <w:szCs w:val="36"/>
        </w:rPr>
      </w:pPr>
    </w:p>
    <w:p>
      <w:pPr>
        <w:keepNext w:val="0"/>
        <w:keepLines w:val="0"/>
        <w:pageBreakBefore w:val="0"/>
        <w:widowControl w:val="0"/>
        <w:kinsoku/>
        <w:wordWrap/>
        <w:overflowPunct/>
        <w:topLinePunct w:val="0"/>
        <w:autoSpaceDE/>
        <w:autoSpaceDN/>
        <w:bidi w:val="0"/>
        <w:adjustRightInd w:val="0"/>
        <w:snapToGrid w:val="0"/>
        <w:ind w:firstLine="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keepNext w:val="0"/>
        <w:keepLines w:val="0"/>
        <w:pageBreakBefore w:val="0"/>
        <w:widowControl w:val="0"/>
        <w:kinsoku/>
        <w:wordWrap/>
        <w:overflowPunct/>
        <w:topLinePunct w:val="0"/>
        <w:autoSpaceDE/>
        <w:autoSpaceDN/>
        <w:bidi w:val="0"/>
        <w:adjustRightInd w:val="0"/>
        <w:snapToGrid w:val="0"/>
        <w:spacing w:before="192" w:beforeLines="80"/>
        <w:ind w:firstLine="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pPr>
        <w:pStyle w:val="2"/>
        <w:keepNext w:val="0"/>
        <w:keepLines w:val="0"/>
        <w:pageBreakBefore w:val="0"/>
        <w:widowControl w:val="0"/>
        <w:kinsoku/>
        <w:wordWrap/>
        <w:overflowPunct/>
        <w:topLinePunct w:val="0"/>
        <w:autoSpaceDE/>
        <w:autoSpaceDN/>
        <w:bidi w:val="0"/>
        <w:adjustRightInd w:val="0"/>
        <w:ind w:firstLine="0"/>
        <w:jc w:val="center"/>
        <w:rPr>
          <w:rFonts w:hint="eastAsia" w:eastAsia="楷体_GB2312"/>
          <w:color w:val="auto"/>
          <w:lang w:eastAsia="zh-CN"/>
        </w:rPr>
      </w:pPr>
      <w:r>
        <w:rPr>
          <w:rFonts w:hint="eastAsia"/>
          <w:bCs/>
          <w:color w:val="auto"/>
          <w:sz w:val="48"/>
          <w:szCs w:val="48"/>
          <w:lang w:eastAsia="zh-CN"/>
        </w:rPr>
        <w:t>（</w:t>
      </w:r>
      <w:r>
        <w:rPr>
          <w:rFonts w:hint="eastAsia"/>
          <w:bCs/>
          <w:color w:val="auto"/>
          <w:sz w:val="48"/>
          <w:szCs w:val="48"/>
          <w:lang w:val="en-US" w:eastAsia="zh-CN"/>
        </w:rPr>
        <w:t>报批本</w:t>
      </w:r>
      <w:r>
        <w:rPr>
          <w:rFonts w:hint="eastAsia"/>
          <w:bCs/>
          <w:color w:val="auto"/>
          <w:sz w:val="48"/>
          <w:szCs w:val="48"/>
          <w:lang w:eastAsia="zh-CN"/>
        </w:rPr>
        <w:t>）</w:t>
      </w:r>
    </w:p>
    <w:p>
      <w:pPr>
        <w:pStyle w:val="2"/>
        <w:rPr>
          <w:color w:val="auto"/>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firstLine="1040"/>
        <w:rPr>
          <w:rFonts w:hint="default" w:ascii="Times New Roman" w:hAnsi="Times New Roman" w:eastAsia="仿宋" w:cs="Times New Roman"/>
          <w:color w:val="auto"/>
          <w:sz w:val="36"/>
          <w:szCs w:val="36"/>
          <w:u w:val="single"/>
        </w:rPr>
      </w:pPr>
      <w:r>
        <w:rPr>
          <w:rFonts w:hint="eastAsia" w:ascii="仿宋_GB2312" w:eastAsia="仿宋_GB2312"/>
          <w:color w:val="auto"/>
          <w:sz w:val="36"/>
          <w:szCs w:val="36"/>
        </w:rPr>
        <w:t>项</w:t>
      </w:r>
      <w:r>
        <w:rPr>
          <w:rFonts w:hint="eastAsia" w:ascii="仿宋" w:hAnsi="仿宋" w:eastAsia="仿宋" w:cs="仿宋"/>
          <w:color w:val="auto"/>
          <w:sz w:val="36"/>
          <w:szCs w:val="36"/>
        </w:rPr>
        <w:t xml:space="preserve">目名称： </w:t>
      </w:r>
      <w:r>
        <w:rPr>
          <w:rFonts w:hint="eastAsia" w:ascii="仿宋" w:hAnsi="仿宋" w:eastAsia="仿宋" w:cs="仿宋"/>
          <w:color w:val="auto"/>
          <w:sz w:val="36"/>
          <w:szCs w:val="36"/>
          <w:u w:val="single"/>
        </w:rPr>
        <w:t xml:space="preserve">      图南</w:t>
      </w:r>
      <w:r>
        <w:rPr>
          <w:rFonts w:hint="default" w:ascii="Times New Roman" w:hAnsi="Times New Roman" w:eastAsia="仿宋" w:cs="Times New Roman"/>
          <w:color w:val="auto"/>
          <w:sz w:val="36"/>
          <w:szCs w:val="36"/>
          <w:u w:val="single"/>
        </w:rPr>
        <w:t>圆织生产线技改项</w:t>
      </w:r>
      <w:r>
        <w:rPr>
          <w:rFonts w:hint="default" w:ascii="Times New Roman" w:hAnsi="Times New Roman" w:eastAsia="仿宋" w:cs="Times New Roman"/>
          <w:bCs/>
          <w:color w:val="auto"/>
          <w:sz w:val="36"/>
          <w:szCs w:val="36"/>
          <w:u w:val="single"/>
        </w:rPr>
        <w:t>目</w:t>
      </w:r>
      <w:r>
        <w:rPr>
          <w:rFonts w:hint="default" w:ascii="Times New Roman" w:hAnsi="Times New Roman" w:eastAsia="仿宋" w:cs="Times New Roman"/>
          <w:color w:val="auto"/>
          <w:sz w:val="36"/>
          <w:szCs w:val="36"/>
          <w:u w:val="single"/>
        </w:rPr>
        <w:t xml:space="preserve">        </w:t>
      </w:r>
    </w:p>
    <w:p>
      <w:pPr>
        <w:adjustRightInd w:val="0"/>
        <w:snapToGrid w:val="0"/>
        <w:spacing w:line="288" w:lineRule="auto"/>
        <w:ind w:firstLine="1040"/>
        <w:rPr>
          <w:rFonts w:hint="default" w:ascii="Times New Roman" w:hAnsi="Times New Roman" w:eastAsia="仿宋" w:cs="Times New Roman"/>
          <w:bCs/>
          <w:color w:val="auto"/>
          <w:sz w:val="36"/>
          <w:szCs w:val="36"/>
          <w:u w:val="single"/>
        </w:rPr>
      </w:pPr>
      <w:r>
        <w:rPr>
          <w:rFonts w:hint="default" w:ascii="Times New Roman" w:hAnsi="Times New Roman" w:eastAsia="仿宋" w:cs="Times New Roman"/>
          <w:color w:val="auto"/>
          <w:sz w:val="36"/>
          <w:szCs w:val="36"/>
        </w:rPr>
        <w:t>建设单位（盖章）：</w:t>
      </w:r>
      <w:r>
        <w:rPr>
          <w:rFonts w:hint="default" w:ascii="Times New Roman" w:hAnsi="Times New Roman" w:eastAsia="仿宋" w:cs="Times New Roman"/>
          <w:bCs/>
          <w:color w:val="auto"/>
          <w:sz w:val="36"/>
          <w:szCs w:val="36"/>
          <w:u w:val="single"/>
        </w:rPr>
        <w:t>乐山图南再生资源回收利用有</w:t>
      </w:r>
    </w:p>
    <w:p>
      <w:pPr>
        <w:adjustRightInd w:val="0"/>
        <w:snapToGrid w:val="0"/>
        <w:spacing w:line="288" w:lineRule="auto"/>
        <w:ind w:firstLine="4320" w:firstLineChars="1200"/>
        <w:rPr>
          <w:rFonts w:hint="default" w:ascii="Times New Roman" w:hAnsi="Times New Roman" w:eastAsia="仿宋" w:cs="Times New Roman"/>
          <w:color w:val="auto"/>
          <w:sz w:val="36"/>
          <w:szCs w:val="36"/>
          <w:u w:val="single"/>
        </w:rPr>
      </w:pPr>
      <w:r>
        <w:rPr>
          <w:rFonts w:hint="default" w:ascii="Times New Roman" w:hAnsi="Times New Roman" w:eastAsia="仿宋" w:cs="Times New Roman"/>
          <w:bCs/>
          <w:color w:val="auto"/>
          <w:sz w:val="36"/>
          <w:szCs w:val="36"/>
          <w:u w:val="single"/>
        </w:rPr>
        <w:t>限公司</w:t>
      </w:r>
      <w:r>
        <w:rPr>
          <w:rFonts w:hint="default" w:ascii="Times New Roman" w:hAnsi="Times New Roman" w:eastAsia="仿宋" w:cs="Times New Roman"/>
          <w:color w:val="auto"/>
          <w:sz w:val="36"/>
          <w:szCs w:val="36"/>
          <w:u w:val="single"/>
        </w:rPr>
        <w:t xml:space="preserve"> </w:t>
      </w:r>
    </w:p>
    <w:p>
      <w:pPr>
        <w:adjustRightInd w:val="0"/>
        <w:snapToGrid w:val="0"/>
        <w:spacing w:line="288" w:lineRule="auto"/>
        <w:ind w:firstLine="1040"/>
        <w:rPr>
          <w:rFonts w:hint="eastAsia" w:ascii="仿宋_GB2312" w:eastAsia="仿宋_GB2312"/>
          <w:color w:val="auto"/>
          <w:sz w:val="36"/>
          <w:szCs w:val="36"/>
          <w:u w:val="single"/>
        </w:rPr>
      </w:pPr>
      <w:r>
        <w:rPr>
          <w:rFonts w:hint="default" w:ascii="Times New Roman" w:hAnsi="Times New Roman" w:eastAsia="仿宋" w:cs="Times New Roman"/>
          <w:color w:val="auto"/>
          <w:sz w:val="36"/>
          <w:szCs w:val="36"/>
        </w:rPr>
        <w:t>编制日期：</w:t>
      </w:r>
      <w:r>
        <w:rPr>
          <w:rFonts w:hint="default" w:ascii="Times New Roman" w:hAnsi="Times New Roman" w:eastAsia="仿宋" w:cs="Times New Roman"/>
          <w:color w:val="auto"/>
          <w:sz w:val="36"/>
          <w:szCs w:val="36"/>
          <w:u w:val="single"/>
        </w:rPr>
        <w:t xml:space="preserve">           2022年</w:t>
      </w:r>
      <w:r>
        <w:rPr>
          <w:rFonts w:hint="default" w:ascii="Times New Roman" w:hAnsi="Times New Roman" w:eastAsia="仿宋" w:cs="Times New Roman"/>
          <w:color w:val="auto"/>
          <w:sz w:val="36"/>
          <w:szCs w:val="36"/>
          <w:u w:val="single"/>
          <w:lang w:val="en-US" w:eastAsia="zh-CN"/>
        </w:rPr>
        <w:t>6</w:t>
      </w:r>
      <w:r>
        <w:rPr>
          <w:rFonts w:hint="default" w:ascii="Times New Roman" w:hAnsi="Times New Roman" w:eastAsia="仿宋" w:cs="Times New Roman"/>
          <w:color w:val="auto"/>
          <w:sz w:val="36"/>
          <w:szCs w:val="36"/>
          <w:u w:val="single"/>
        </w:rPr>
        <w:t xml:space="preserve">月       </w:t>
      </w:r>
      <w:r>
        <w:rPr>
          <w:rFonts w:hint="eastAsia" w:ascii="仿宋" w:hAnsi="仿宋" w:eastAsia="仿宋" w:cs="仿宋"/>
          <w:color w:val="auto"/>
          <w:sz w:val="36"/>
          <w:szCs w:val="36"/>
          <w:u w:val="single"/>
        </w:rPr>
        <w:t xml:space="preserve">     </w:t>
      </w:r>
      <w:r>
        <w:rPr>
          <w:rFonts w:hint="eastAsia" w:ascii="仿宋_GB2312" w:eastAsia="仿宋_GB2312"/>
          <w:color w:val="auto"/>
          <w:sz w:val="36"/>
          <w:szCs w:val="36"/>
          <w:u w:val="single"/>
        </w:rPr>
        <w:t xml:space="preserve">   </w:t>
      </w:r>
    </w:p>
    <w:p>
      <w:pPr>
        <w:adjustRightInd w:val="0"/>
        <w:snapToGrid w:val="0"/>
        <w:spacing w:line="288" w:lineRule="auto"/>
        <w:ind w:firstLine="1040"/>
        <w:rPr>
          <w:rFonts w:ascii="仿宋_GB2312" w:eastAsia="仿宋_GB2312"/>
          <w:color w:val="auto"/>
          <w:sz w:val="36"/>
          <w:szCs w:val="36"/>
          <w:u w:val="single"/>
        </w:rPr>
      </w:pPr>
    </w:p>
    <w:p>
      <w:pPr>
        <w:adjustRightInd w:val="0"/>
        <w:snapToGrid w:val="0"/>
        <w:spacing w:line="288" w:lineRule="auto"/>
        <w:rPr>
          <w:rFonts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p>
      <w:pPr>
        <w:adjustRightInd w:val="0"/>
        <w:snapToGrid w:val="0"/>
        <w:spacing w:line="288" w:lineRule="auto"/>
        <w:jc w:val="center"/>
        <w:rPr>
          <w:rFonts w:hint="eastAsia" w:hAnsi="宋体"/>
          <w:b/>
          <w:color w:val="auto"/>
          <w:sz w:val="24"/>
        </w:rPr>
      </w:pPr>
      <w:r>
        <w:rPr>
          <w:rFonts w:hint="eastAsia" w:ascii="楷体_GB2312" w:eastAsia="楷体_GB2312"/>
          <w:color w:val="auto"/>
          <w:sz w:val="36"/>
          <w:szCs w:val="36"/>
        </w:rPr>
        <w:t>中华人民共和国生态环境部制</w:t>
      </w:r>
    </w:p>
    <w:p>
      <w:pPr>
        <w:pStyle w:val="10"/>
        <w:rPr>
          <w:color w:val="auto"/>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宋体" w:hAnsi="宋体" w:eastAsia="宋体" w:cs="宋体"/>
          <w:b/>
          <w:bCs/>
          <w:snapToGrid w:val="0"/>
          <w:color w:val="auto"/>
          <w:sz w:val="30"/>
          <w:szCs w:val="30"/>
          <w:lang w:val="en-US" w:eastAsia="zh-CN"/>
        </w:rPr>
      </w:pPr>
      <w:r>
        <w:rPr>
          <w:rFonts w:hint="eastAsia" w:ascii="宋体" w:hAnsi="宋体" w:eastAsia="宋体" w:cs="宋体"/>
          <w:b/>
          <w:bCs/>
          <w:snapToGrid w:val="0"/>
          <w:color w:val="auto"/>
          <w:sz w:val="30"/>
          <w:szCs w:val="30"/>
        </w:rPr>
        <w:t>图南圆织生产线技改项目</w:t>
      </w:r>
      <w:r>
        <w:rPr>
          <w:rFonts w:hint="eastAsia" w:ascii="宋体" w:hAnsi="宋体" w:eastAsia="宋体" w:cs="宋体"/>
          <w:b/>
          <w:bCs/>
          <w:snapToGrid w:val="0"/>
          <w:color w:val="auto"/>
          <w:sz w:val="30"/>
          <w:szCs w:val="30"/>
          <w:lang w:val="en-US" w:eastAsia="zh-CN"/>
        </w:rPr>
        <w:t>专家评审意见修改表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3289"/>
        <w:gridCol w:w="3485"/>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0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21"/>
                <w:szCs w:val="21"/>
                <w:vertAlign w:val="baseline"/>
                <w:lang w:val="en-US" w:eastAsia="zh-CN"/>
              </w:rPr>
            </w:pPr>
            <w:r>
              <w:rPr>
                <w:rFonts w:hint="default" w:ascii="Times New Roman" w:hAnsi="Times New Roman" w:eastAsia="宋体" w:cs="Times New Roman"/>
                <w:b/>
                <w:bCs/>
                <w:snapToGrid w:val="0"/>
                <w:color w:val="auto"/>
                <w:sz w:val="21"/>
                <w:szCs w:val="21"/>
                <w:vertAlign w:val="baseline"/>
                <w:lang w:val="en-US" w:eastAsia="zh-CN"/>
              </w:rPr>
              <w:t>序号</w:t>
            </w:r>
          </w:p>
        </w:tc>
        <w:tc>
          <w:tcPr>
            <w:tcW w:w="328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21"/>
                <w:szCs w:val="21"/>
                <w:vertAlign w:val="baseline"/>
                <w:lang w:val="en-US" w:eastAsia="zh-CN"/>
              </w:rPr>
            </w:pPr>
            <w:r>
              <w:rPr>
                <w:rFonts w:hint="default" w:ascii="Times New Roman" w:hAnsi="Times New Roman" w:eastAsia="宋体" w:cs="Times New Roman"/>
                <w:b/>
                <w:bCs/>
                <w:snapToGrid w:val="0"/>
                <w:color w:val="auto"/>
                <w:sz w:val="21"/>
                <w:szCs w:val="21"/>
                <w:vertAlign w:val="baseline"/>
                <w:lang w:val="en-US" w:eastAsia="zh-CN"/>
              </w:rPr>
              <w:t>专家意见</w:t>
            </w:r>
          </w:p>
        </w:tc>
        <w:tc>
          <w:tcPr>
            <w:tcW w:w="348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21"/>
                <w:szCs w:val="21"/>
                <w:vertAlign w:val="baseline"/>
                <w:lang w:val="en-US" w:eastAsia="zh-CN"/>
              </w:rPr>
            </w:pPr>
            <w:r>
              <w:rPr>
                <w:rFonts w:hint="default" w:ascii="Times New Roman" w:hAnsi="Times New Roman" w:eastAsia="宋体" w:cs="Times New Roman"/>
                <w:b/>
                <w:bCs/>
                <w:snapToGrid w:val="0"/>
                <w:color w:val="auto"/>
                <w:sz w:val="21"/>
                <w:szCs w:val="21"/>
                <w:vertAlign w:val="baseline"/>
                <w:lang w:val="en-US" w:eastAsia="zh-CN"/>
              </w:rPr>
              <w:t>修改情况</w:t>
            </w:r>
          </w:p>
        </w:tc>
        <w:tc>
          <w:tcPr>
            <w:tcW w:w="147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21"/>
                <w:szCs w:val="21"/>
                <w:vertAlign w:val="baseline"/>
                <w:lang w:val="en-US" w:eastAsia="zh-CN"/>
              </w:rPr>
            </w:pPr>
            <w:r>
              <w:rPr>
                <w:rFonts w:hint="default" w:ascii="Times New Roman" w:hAnsi="Times New Roman" w:eastAsia="宋体" w:cs="Times New Roman"/>
                <w:b/>
                <w:bCs/>
                <w:snapToGrid w:val="0"/>
                <w:color w:val="auto"/>
                <w:sz w:val="21"/>
                <w:szCs w:val="21"/>
                <w:vertAlign w:val="baseline"/>
                <w:lang w:val="en-US" w:eastAsia="zh-CN"/>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1</w:t>
            </w:r>
          </w:p>
        </w:tc>
        <w:tc>
          <w:tcPr>
            <w:tcW w:w="328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bCs/>
                <w:color w:val="auto"/>
                <w:sz w:val="21"/>
                <w:szCs w:val="21"/>
              </w:rPr>
              <w:t>细化项目由来，完善项目选址与</w:t>
            </w:r>
            <w:r>
              <w:rPr>
                <w:rFonts w:hint="default" w:ascii="Times New Roman" w:hAnsi="Times New Roman" w:eastAsia="宋体" w:cs="Times New Roman"/>
                <w:bCs/>
                <w:color w:val="auto"/>
                <w:sz w:val="21"/>
                <w:szCs w:val="21"/>
                <w:lang w:val="en-US" w:eastAsia="zh-CN"/>
              </w:rPr>
              <w:t>犍为县城市总体规划、“三线一单”</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犍为县县城饮用水源保护区</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长江保护法、园区跟踪环评审查意见等</w:t>
            </w:r>
            <w:r>
              <w:rPr>
                <w:rFonts w:hint="default" w:ascii="Times New Roman" w:hAnsi="Times New Roman" w:eastAsia="宋体" w:cs="Times New Roman"/>
                <w:bCs/>
                <w:color w:val="auto"/>
                <w:sz w:val="21"/>
                <w:szCs w:val="21"/>
              </w:rPr>
              <w:t>的符合性分析。完善</w:t>
            </w:r>
            <w:r>
              <w:rPr>
                <w:rFonts w:hint="default" w:ascii="Times New Roman" w:hAnsi="Times New Roman" w:eastAsia="宋体" w:cs="Times New Roman"/>
                <w:bCs/>
                <w:color w:val="auto"/>
                <w:sz w:val="21"/>
                <w:szCs w:val="21"/>
                <w:lang w:eastAsia="zh-CN"/>
              </w:rPr>
              <w:t>项目</w:t>
            </w:r>
            <w:r>
              <w:rPr>
                <w:rFonts w:hint="default" w:ascii="Times New Roman" w:hAnsi="Times New Roman" w:eastAsia="宋体" w:cs="Times New Roman"/>
                <w:bCs/>
                <w:color w:val="auto"/>
                <w:sz w:val="21"/>
                <w:szCs w:val="21"/>
              </w:rPr>
              <w:t>与乐山市《</w:t>
            </w:r>
            <w:r>
              <w:rPr>
                <w:rFonts w:hint="default" w:ascii="Times New Roman" w:hAnsi="Times New Roman" w:eastAsia="宋体" w:cs="Times New Roman"/>
                <w:bCs/>
                <w:color w:val="auto"/>
                <w:sz w:val="21"/>
                <w:szCs w:val="21"/>
                <w:lang w:val="en-US" w:eastAsia="zh-CN"/>
              </w:rPr>
              <w:t>2022年大气污染防治攻坚方案</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等政策</w:t>
            </w:r>
            <w:r>
              <w:rPr>
                <w:rFonts w:hint="default" w:ascii="Times New Roman" w:hAnsi="Times New Roman" w:eastAsia="宋体" w:cs="Times New Roman"/>
                <w:bCs/>
                <w:color w:val="auto"/>
                <w:sz w:val="21"/>
                <w:szCs w:val="21"/>
              </w:rPr>
              <w:t>的符合性分析</w:t>
            </w:r>
            <w:r>
              <w:rPr>
                <w:rFonts w:hint="default" w:ascii="Times New Roman" w:hAnsi="Times New Roman" w:eastAsia="宋体" w:cs="Times New Roman"/>
                <w:bCs/>
                <w:color w:val="auto"/>
                <w:sz w:val="21"/>
                <w:szCs w:val="21"/>
                <w:lang w:eastAsia="zh-CN"/>
              </w:rPr>
              <w:t>。</w:t>
            </w:r>
          </w:p>
        </w:tc>
        <w:tc>
          <w:tcPr>
            <w:tcW w:w="348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已</w:t>
            </w:r>
            <w:r>
              <w:rPr>
                <w:rFonts w:hint="default" w:ascii="Times New Roman" w:hAnsi="Times New Roman" w:eastAsia="宋体" w:cs="Times New Roman"/>
                <w:bCs/>
                <w:color w:val="auto"/>
                <w:sz w:val="21"/>
                <w:szCs w:val="21"/>
              </w:rPr>
              <w:t>细化项目由来，完善项目选址与</w:t>
            </w:r>
            <w:r>
              <w:rPr>
                <w:rFonts w:hint="default" w:ascii="Times New Roman" w:hAnsi="Times New Roman" w:eastAsia="宋体" w:cs="Times New Roman"/>
                <w:bCs/>
                <w:color w:val="auto"/>
                <w:sz w:val="21"/>
                <w:szCs w:val="21"/>
                <w:lang w:val="en-US" w:eastAsia="zh-CN"/>
              </w:rPr>
              <w:t>犍为县城市总体规划、“三线一单”</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犍为县县城饮用水源保护区</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长江保护法、园区跟踪环评审查意见等</w:t>
            </w:r>
            <w:r>
              <w:rPr>
                <w:rFonts w:hint="default" w:ascii="Times New Roman" w:hAnsi="Times New Roman" w:eastAsia="宋体" w:cs="Times New Roman"/>
                <w:bCs/>
                <w:color w:val="auto"/>
                <w:sz w:val="21"/>
                <w:szCs w:val="21"/>
              </w:rPr>
              <w:t>的符合性分析。完善</w:t>
            </w:r>
            <w:r>
              <w:rPr>
                <w:rFonts w:hint="default" w:ascii="Times New Roman" w:hAnsi="Times New Roman" w:eastAsia="宋体" w:cs="Times New Roman"/>
                <w:bCs/>
                <w:color w:val="auto"/>
                <w:sz w:val="21"/>
                <w:szCs w:val="21"/>
                <w:lang w:eastAsia="zh-CN"/>
              </w:rPr>
              <w:t>项目</w:t>
            </w:r>
            <w:r>
              <w:rPr>
                <w:rFonts w:hint="default" w:ascii="Times New Roman" w:hAnsi="Times New Roman" w:eastAsia="宋体" w:cs="Times New Roman"/>
                <w:bCs/>
                <w:color w:val="auto"/>
                <w:sz w:val="21"/>
                <w:szCs w:val="21"/>
              </w:rPr>
              <w:t>与乐山市《</w:t>
            </w:r>
            <w:r>
              <w:rPr>
                <w:rFonts w:hint="default" w:ascii="Times New Roman" w:hAnsi="Times New Roman" w:eastAsia="宋体" w:cs="Times New Roman"/>
                <w:bCs/>
                <w:color w:val="auto"/>
                <w:sz w:val="21"/>
                <w:szCs w:val="21"/>
                <w:lang w:val="en-US" w:eastAsia="zh-CN"/>
              </w:rPr>
              <w:t>2022年大气污染防治攻坚方案</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等政策</w:t>
            </w:r>
            <w:r>
              <w:rPr>
                <w:rFonts w:hint="default" w:ascii="Times New Roman" w:hAnsi="Times New Roman" w:eastAsia="宋体" w:cs="Times New Roman"/>
                <w:bCs/>
                <w:color w:val="auto"/>
                <w:sz w:val="21"/>
                <w:szCs w:val="21"/>
              </w:rPr>
              <w:t>的符合性分析</w:t>
            </w:r>
            <w:r>
              <w:rPr>
                <w:rFonts w:hint="default" w:ascii="Times New Roman" w:hAnsi="Times New Roman" w:eastAsia="宋体" w:cs="Times New Roman"/>
                <w:bCs/>
                <w:color w:val="auto"/>
                <w:sz w:val="21"/>
                <w:szCs w:val="21"/>
                <w:lang w:eastAsia="zh-CN"/>
              </w:rPr>
              <w:t>。</w:t>
            </w:r>
          </w:p>
        </w:tc>
        <w:tc>
          <w:tcPr>
            <w:tcW w:w="147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2</w:t>
            </w:r>
          </w:p>
        </w:tc>
        <w:tc>
          <w:tcPr>
            <w:tcW w:w="328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强化现有厂区环境问题调查，认真梳理企业废水、废气等治理设施的运行情况，确保现有厂区污染物达标排放，不扰民，强化“以新带老”措施。</w:t>
            </w:r>
          </w:p>
        </w:tc>
        <w:tc>
          <w:tcPr>
            <w:tcW w:w="348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已强化现有厂区环境问题调查，认真梳理企业废水、废气等治理设施的运行情况，确保现有厂区污染物达标排放，不扰民，强化“以新带老”措施。</w:t>
            </w:r>
          </w:p>
        </w:tc>
        <w:tc>
          <w:tcPr>
            <w:tcW w:w="147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P39-46</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P79-80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3</w:t>
            </w:r>
          </w:p>
        </w:tc>
        <w:tc>
          <w:tcPr>
            <w:tcW w:w="328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工程分析，完善项目实施的必要性，细化劳动定员。</w:t>
            </w:r>
          </w:p>
        </w:tc>
        <w:tc>
          <w:tcPr>
            <w:tcW w:w="348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已完善项目实施的必要性，细化劳动定员。</w:t>
            </w:r>
          </w:p>
        </w:tc>
        <w:tc>
          <w:tcPr>
            <w:tcW w:w="147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P23-24</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4</w:t>
            </w:r>
          </w:p>
        </w:tc>
        <w:tc>
          <w:tcPr>
            <w:tcW w:w="328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bCs/>
                <w:color w:val="auto"/>
                <w:sz w:val="21"/>
                <w:szCs w:val="21"/>
              </w:rPr>
              <w:t>完善环境影响</w:t>
            </w:r>
            <w:r>
              <w:rPr>
                <w:rFonts w:hint="default" w:ascii="Times New Roman" w:hAnsi="Times New Roman" w:eastAsia="宋体" w:cs="Times New Roman"/>
                <w:bCs/>
                <w:color w:val="auto"/>
                <w:sz w:val="21"/>
                <w:szCs w:val="21"/>
                <w:lang w:eastAsia="zh-CN"/>
              </w:rPr>
              <w:t>和保护措施分析，</w:t>
            </w:r>
            <w:r>
              <w:rPr>
                <w:rFonts w:hint="default" w:ascii="Times New Roman" w:hAnsi="Times New Roman" w:eastAsia="宋体" w:cs="Times New Roman"/>
                <w:bCs/>
                <w:color w:val="auto"/>
                <w:sz w:val="21"/>
                <w:szCs w:val="21"/>
                <w:lang w:val="en-US" w:eastAsia="zh-CN"/>
              </w:rPr>
              <w:t>校核项目技改前后污染物排放量，完善“三本账”分析，校核项目技改后节水量、污染物减排量，强化项目环保正效应分析，强化声环境影响分析，补充噪声对周边敏感目标的影响分析。</w:t>
            </w:r>
          </w:p>
        </w:tc>
        <w:tc>
          <w:tcPr>
            <w:tcW w:w="348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已</w:t>
            </w:r>
            <w:r>
              <w:rPr>
                <w:rFonts w:hint="default" w:ascii="Times New Roman" w:hAnsi="Times New Roman" w:eastAsia="宋体" w:cs="Times New Roman"/>
                <w:bCs/>
                <w:color w:val="auto"/>
                <w:sz w:val="21"/>
                <w:szCs w:val="21"/>
              </w:rPr>
              <w:t>完善环境影响</w:t>
            </w:r>
            <w:r>
              <w:rPr>
                <w:rFonts w:hint="default" w:ascii="Times New Roman" w:hAnsi="Times New Roman" w:eastAsia="宋体" w:cs="Times New Roman"/>
                <w:bCs/>
                <w:color w:val="auto"/>
                <w:sz w:val="21"/>
                <w:szCs w:val="21"/>
                <w:lang w:eastAsia="zh-CN"/>
              </w:rPr>
              <w:t>和保护措施分析；</w:t>
            </w:r>
            <w:r>
              <w:rPr>
                <w:rFonts w:hint="default" w:ascii="Times New Roman" w:hAnsi="Times New Roman" w:eastAsia="宋体" w:cs="Times New Roman"/>
                <w:bCs/>
                <w:color w:val="auto"/>
                <w:sz w:val="21"/>
                <w:szCs w:val="21"/>
                <w:lang w:val="en-US" w:eastAsia="zh-CN"/>
              </w:rPr>
              <w:t>已校核项目技改前后污染物排放量；已完善“三本账”分析，校核项目技改后节水量、污染物减排量，强化项目环保正效应分析；已强化声环境影响分析，补充噪声对周边敏感目标的影响分析。</w:t>
            </w:r>
          </w:p>
        </w:tc>
        <w:tc>
          <w:tcPr>
            <w:tcW w:w="147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P67-72</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P73</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P74</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P69-71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5</w:t>
            </w:r>
          </w:p>
        </w:tc>
        <w:tc>
          <w:tcPr>
            <w:tcW w:w="328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bCs/>
                <w:color w:val="auto"/>
                <w:sz w:val="21"/>
                <w:szCs w:val="21"/>
              </w:rPr>
              <w:t>完善环境风险分析</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提出严格的风险防范措施</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确保事故状态下，废水不外排</w:t>
            </w:r>
            <w:r>
              <w:rPr>
                <w:rFonts w:hint="default" w:ascii="Times New Roman" w:hAnsi="Times New Roman" w:eastAsia="宋体" w:cs="Times New Roman"/>
                <w:bCs/>
                <w:color w:val="auto"/>
                <w:sz w:val="21"/>
                <w:szCs w:val="21"/>
              </w:rPr>
              <w:t>。</w:t>
            </w:r>
          </w:p>
        </w:tc>
        <w:tc>
          <w:tcPr>
            <w:tcW w:w="348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已</w:t>
            </w:r>
            <w:r>
              <w:rPr>
                <w:rFonts w:hint="default" w:ascii="Times New Roman" w:hAnsi="Times New Roman" w:eastAsia="宋体" w:cs="Times New Roman"/>
                <w:bCs/>
                <w:color w:val="auto"/>
                <w:sz w:val="21"/>
                <w:szCs w:val="21"/>
              </w:rPr>
              <w:t>完善环境风险分析</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提出严格的风险防范措施</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确保事故状态下，废水不外排</w:t>
            </w:r>
            <w:r>
              <w:rPr>
                <w:rFonts w:hint="default" w:ascii="Times New Roman" w:hAnsi="Times New Roman" w:eastAsia="宋体" w:cs="Times New Roman"/>
                <w:bCs/>
                <w:color w:val="auto"/>
                <w:sz w:val="21"/>
                <w:szCs w:val="21"/>
              </w:rPr>
              <w:t>。</w:t>
            </w:r>
          </w:p>
        </w:tc>
        <w:tc>
          <w:tcPr>
            <w:tcW w:w="147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P75-78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6</w:t>
            </w:r>
          </w:p>
        </w:tc>
        <w:tc>
          <w:tcPr>
            <w:tcW w:w="328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bCs/>
                <w:color w:val="auto"/>
                <w:sz w:val="21"/>
                <w:szCs w:val="21"/>
              </w:rPr>
              <w:t>校核环保</w:t>
            </w:r>
            <w:r>
              <w:rPr>
                <w:rFonts w:hint="default" w:ascii="Times New Roman" w:hAnsi="Times New Roman" w:eastAsia="宋体" w:cs="Times New Roman"/>
                <w:bCs/>
                <w:color w:val="auto"/>
                <w:sz w:val="21"/>
                <w:szCs w:val="21"/>
                <w:lang w:val="en-US" w:eastAsia="zh-CN"/>
              </w:rPr>
              <w:t>措施监督检查清单，完善环境监测计划，校核环保投资</w:t>
            </w:r>
            <w:r>
              <w:rPr>
                <w:rFonts w:hint="default" w:ascii="Times New Roman" w:hAnsi="Times New Roman" w:eastAsia="宋体" w:cs="Times New Roman"/>
                <w:bCs/>
                <w:color w:val="auto"/>
                <w:sz w:val="21"/>
                <w:szCs w:val="21"/>
              </w:rPr>
              <w:t>，校核文本、完善相关图件。</w:t>
            </w:r>
          </w:p>
        </w:tc>
        <w:tc>
          <w:tcPr>
            <w:tcW w:w="3485"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已</w:t>
            </w:r>
            <w:r>
              <w:rPr>
                <w:rFonts w:hint="default" w:ascii="Times New Roman" w:hAnsi="Times New Roman" w:eastAsia="宋体" w:cs="Times New Roman"/>
                <w:bCs/>
                <w:color w:val="auto"/>
                <w:sz w:val="21"/>
                <w:szCs w:val="21"/>
              </w:rPr>
              <w:t>校核环保</w:t>
            </w:r>
            <w:r>
              <w:rPr>
                <w:rFonts w:hint="default" w:ascii="Times New Roman" w:hAnsi="Times New Roman" w:eastAsia="宋体" w:cs="Times New Roman"/>
                <w:bCs/>
                <w:color w:val="auto"/>
                <w:sz w:val="21"/>
                <w:szCs w:val="21"/>
                <w:lang w:val="en-US" w:eastAsia="zh-CN"/>
              </w:rPr>
              <w:t>措施监督检查清单，完善环境监测计划，校核环保投资</w:t>
            </w:r>
            <w:r>
              <w:rPr>
                <w:rFonts w:hint="default" w:ascii="Times New Roman" w:hAnsi="Times New Roman" w:eastAsia="宋体" w:cs="Times New Roman"/>
                <w:bCs/>
                <w:color w:val="auto"/>
                <w:sz w:val="21"/>
                <w:szCs w:val="21"/>
              </w:rPr>
              <w:t>，校核文本、完善相关图件。</w:t>
            </w:r>
          </w:p>
        </w:tc>
        <w:tc>
          <w:tcPr>
            <w:tcW w:w="1479" w:type="dxa"/>
            <w:vAlign w:val="center"/>
          </w:tcPr>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P81-83</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21"/>
                <w:szCs w:val="21"/>
                <w:vertAlign w:val="baseline"/>
                <w:lang w:val="en-US" w:eastAsia="zh-CN"/>
              </w:rPr>
            </w:pPr>
            <w:r>
              <w:rPr>
                <w:rFonts w:hint="default" w:ascii="Times New Roman" w:hAnsi="Times New Roman" w:eastAsia="宋体" w:cs="Times New Roman"/>
                <w:snapToGrid w:val="0"/>
                <w:color w:val="auto"/>
                <w:sz w:val="21"/>
                <w:szCs w:val="21"/>
                <w:vertAlign w:val="baseline"/>
                <w:lang w:val="en-US" w:eastAsia="zh-CN"/>
              </w:rPr>
              <w:t>P80</w:t>
            </w:r>
          </w:p>
        </w:tc>
      </w:tr>
    </w:tbl>
    <w:p>
      <w:pPr>
        <w:pStyle w:val="25"/>
        <w:jc w:val="center"/>
        <w:outlineLvl w:val="0"/>
        <w:rPr>
          <w:rFonts w:hint="default" w:ascii="黑体" w:hAnsi="黑体" w:eastAsia="黑体"/>
          <w:snapToGrid w:val="0"/>
          <w:color w:val="auto"/>
          <w:sz w:val="30"/>
          <w:szCs w:val="30"/>
          <w:lang w:val="en-US"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5"/>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77"/>
        <w:gridCol w:w="1543"/>
        <w:gridCol w:w="1785"/>
        <w:gridCol w:w="41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7493" w:type="dxa"/>
            <w:gridSpan w:val="3"/>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bCs/>
                <w:color w:val="auto"/>
                <w:sz w:val="24"/>
              </w:rPr>
              <w:t>图南圆织生产线技改项目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7493" w:type="dxa"/>
            <w:gridSpan w:val="3"/>
            <w:noWrap w:val="0"/>
            <w:vAlign w:val="center"/>
          </w:tcPr>
          <w:p>
            <w:pPr>
              <w:widowControl/>
              <w:jc w:val="center"/>
              <w:rPr>
                <w:rFonts w:hint="default" w:ascii="Times New Roman" w:hAnsi="Times New Roman" w:cs="Times New Roman"/>
                <w:color w:val="auto"/>
                <w:sz w:val="24"/>
              </w:rPr>
            </w:pPr>
            <w:r>
              <w:rPr>
                <w:rFonts w:hint="default" w:ascii="Times New Roman" w:hAnsi="Times New Roman" w:cs="Times New Roman"/>
                <w:bCs/>
                <w:color w:val="auto"/>
                <w:sz w:val="24"/>
              </w:rPr>
              <w:t>2203-511123-07-02-645351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1543" w:type="dxa"/>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杨洋</w:t>
            </w:r>
          </w:p>
        </w:tc>
        <w:tc>
          <w:tcPr>
            <w:tcW w:w="1785" w:type="dxa"/>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4165" w:type="dxa"/>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kern w:val="0"/>
                <w:sz w:val="24"/>
                <w:lang w:bidi="ar"/>
              </w:rPr>
              <w:t>1996013911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493" w:type="dxa"/>
            <w:gridSpan w:val="3"/>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乐山市犍为县舞雩镇石马坝园区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7493"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东经103°51'</w:t>
            </w:r>
            <w:r>
              <w:rPr>
                <w:rFonts w:hint="eastAsia" w:ascii="Times New Roman" w:hAnsi="Times New Roman" w:cs="Times New Roman"/>
                <w:color w:val="auto"/>
                <w:sz w:val="24"/>
                <w:szCs w:val="24"/>
                <w:lang w:val="en-US" w:eastAsia="zh-CN"/>
              </w:rPr>
              <w:t>38</w:t>
            </w:r>
            <w:r>
              <w:rPr>
                <w:rFonts w:hint="default" w:ascii="Times New Roman" w:hAnsi="Times New Roman" w:cs="Times New Roman"/>
                <w:color w:val="auto"/>
                <w:sz w:val="24"/>
                <w:szCs w:val="24"/>
              </w:rPr>
              <w:t>.6</w:t>
            </w:r>
            <w:r>
              <w:rPr>
                <w:rFonts w:hint="eastAsia" w:ascii="Times New Roman" w:hAnsi="Times New Roman" w:cs="Times New Roman"/>
                <w:color w:val="auto"/>
                <w:sz w:val="24"/>
                <w:szCs w:val="24"/>
                <w:lang w:val="en-US" w:eastAsia="zh-CN"/>
              </w:rPr>
              <w:t>41</w:t>
            </w:r>
            <w:r>
              <w:rPr>
                <w:rFonts w:hint="default" w:ascii="Times New Roman" w:hAnsi="Times New Roman" w:cs="Times New Roman"/>
                <w:color w:val="auto"/>
                <w:sz w:val="24"/>
                <w:szCs w:val="24"/>
              </w:rPr>
              <w:t>"，北纬29°16′1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609</w:t>
            </w:r>
            <w:r>
              <w:rPr>
                <w:rFonts w:hint="default" w:ascii="Times New Roman" w:hAnsi="Times New Roman"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7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国民经济</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1543" w:type="dxa"/>
            <w:noWrap w:val="0"/>
            <w:vAlign w:val="center"/>
          </w:tcPr>
          <w:p>
            <w:pPr>
              <w:ind w:left="-88" w:leftChars="-42" w:right="-109" w:rightChars="-52"/>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C4220</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非金属废料和碎屑加工处理</w:t>
            </w:r>
          </w:p>
        </w:tc>
        <w:tc>
          <w:tcPr>
            <w:tcW w:w="1785" w:type="dxa"/>
            <w:noWrap w:val="0"/>
            <w:vAlign w:val="center"/>
          </w:tcPr>
          <w:p>
            <w:pPr>
              <w:adjustRightInd w:val="0"/>
              <w:snapToGrid w:val="0"/>
              <w:spacing w:line="360" w:lineRule="auto"/>
              <w:jc w:val="center"/>
              <w:rPr>
                <w:rFonts w:hint="default" w:ascii="Times New Roman" w:hAnsi="Times New Roman" w:cs="Times New Roman"/>
                <w:color w:val="auto"/>
                <w:sz w:val="24"/>
                <w:szCs w:val="24"/>
              </w:rPr>
            </w:pPr>
            <w:bookmarkStart w:id="0" w:name="_Hlk49843745"/>
            <w:r>
              <w:rPr>
                <w:rFonts w:hint="default" w:ascii="Times New Roman" w:hAnsi="Times New Roman" w:cs="Times New Roman"/>
                <w:color w:val="auto"/>
                <w:sz w:val="24"/>
                <w:szCs w:val="24"/>
              </w:rPr>
              <w:t>建设项目</w:t>
            </w:r>
          </w:p>
          <w:p>
            <w:pPr>
              <w:adjustRightInd w:val="0"/>
              <w:snapToGrid w:val="0"/>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0"/>
          </w:p>
        </w:tc>
        <w:tc>
          <w:tcPr>
            <w:tcW w:w="4165" w:type="dxa"/>
            <w:noWrap w:val="0"/>
            <w:vAlign w:val="center"/>
          </w:tcPr>
          <w:p>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“三十九、废弃资源综合利用业”中“85 非金属废料和碎屑加工处理422”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7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1543" w:type="dxa"/>
            <w:noWrap w:val="0"/>
            <w:vAlign w:val="center"/>
          </w:tcPr>
          <w:p>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新建（迁建）</w:t>
            </w:r>
          </w:p>
          <w:p>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改建</w:t>
            </w:r>
          </w:p>
          <w:p>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扩建</w:t>
            </w:r>
          </w:p>
          <w:p>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技术改造</w:t>
            </w:r>
          </w:p>
        </w:tc>
        <w:tc>
          <w:tcPr>
            <w:tcW w:w="1785" w:type="dxa"/>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4165" w:type="dxa"/>
            <w:noWrap w:val="0"/>
            <w:vAlign w:val="center"/>
          </w:tcPr>
          <w:p>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 xml:space="preserve">首次申报项目             </w:t>
            </w:r>
          </w:p>
          <w:p>
            <w:pPr>
              <w:jc w:val="left"/>
              <w:rPr>
                <w:rFonts w:hint="default" w:ascii="Times New Roman" w:hAnsi="Times New Roman" w:cs="Times New Roman"/>
                <w:color w:val="auto"/>
                <w:sz w:val="24"/>
              </w:rPr>
            </w:pPr>
            <w:r>
              <w:rPr>
                <w:rFonts w:hint="default" w:ascii="Times New Roman" w:hAnsi="Times New Roman" w:cs="Times New Roman"/>
                <w:color w:val="auto"/>
                <w:sz w:val="24"/>
              </w:rPr>
              <w:t>□不予批准后再次申报项目</w:t>
            </w:r>
          </w:p>
          <w:p>
            <w:pPr>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□超五年重新审核项目     </w:t>
            </w:r>
          </w:p>
          <w:p>
            <w:pPr>
              <w:jc w:val="left"/>
              <w:rPr>
                <w:rFonts w:hint="default" w:ascii="Times New Roman" w:hAnsi="Times New Roman" w:cs="Times New Roman"/>
                <w:color w:val="auto"/>
                <w:sz w:val="24"/>
              </w:rPr>
            </w:pPr>
            <w:r>
              <w:rPr>
                <w:rFonts w:hint="default" w:ascii="Times New Roman" w:hAnsi="Times New Roman" w:cs="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7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备案）部门（选填）</w:t>
            </w:r>
          </w:p>
        </w:tc>
        <w:tc>
          <w:tcPr>
            <w:tcW w:w="1543" w:type="dxa"/>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szCs w:val="24"/>
              </w:rPr>
              <w:t>犍为县经济和信息化局</w:t>
            </w:r>
          </w:p>
        </w:tc>
        <w:tc>
          <w:tcPr>
            <w:tcW w:w="1785" w:type="dxa"/>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备案）文号（选填）</w:t>
            </w:r>
          </w:p>
        </w:tc>
        <w:tc>
          <w:tcPr>
            <w:tcW w:w="4165" w:type="dxa"/>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川投资备【2203-511123-07-02-645351】JXQB-0046号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1543" w:type="dxa"/>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510</w:t>
            </w:r>
          </w:p>
        </w:tc>
        <w:tc>
          <w:tcPr>
            <w:tcW w:w="178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4165" w:type="dxa"/>
            <w:noWrap w:val="0"/>
            <w:vAlign w:val="center"/>
          </w:tcPr>
          <w:p>
            <w:pPr>
              <w:adjustRightInd w:val="0"/>
              <w:snapToGrid w:val="0"/>
              <w:jc w:val="center"/>
              <w:rPr>
                <w:rFonts w:hint="default" w:ascii="Times New Roman" w:hAnsi="Times New Roman" w:cs="Times New Roman"/>
                <w:color w:val="auto"/>
                <w:sz w:val="24"/>
                <w:lang w:val="en-US"/>
              </w:rPr>
            </w:pPr>
            <w:r>
              <w:rPr>
                <w:rFonts w:hint="eastAsia" w:cs="Times New Roman"/>
                <w:color w:val="auto"/>
                <w:sz w:val="24"/>
                <w:lang w:val="en-US" w:eastAsia="zh-CN"/>
              </w:rPr>
              <w:t>44.7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37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1543" w:type="dxa"/>
            <w:noWrap w:val="0"/>
            <w:vAlign w:val="center"/>
          </w:tcPr>
          <w:p>
            <w:pPr>
              <w:adjustRightInd w:val="0"/>
              <w:snapToGrid w:val="0"/>
              <w:jc w:val="center"/>
              <w:rPr>
                <w:rFonts w:hint="default" w:ascii="Times New Roman" w:hAnsi="Times New Roman" w:cs="Times New Roman"/>
                <w:color w:val="auto"/>
                <w:sz w:val="24"/>
              </w:rPr>
            </w:pPr>
            <w:r>
              <w:rPr>
                <w:rFonts w:hint="eastAsia" w:cs="Times New Roman"/>
                <w:color w:val="auto"/>
                <w:sz w:val="24"/>
                <w:lang w:val="en-US" w:eastAsia="zh-CN"/>
              </w:rPr>
              <w:t>8.76</w:t>
            </w:r>
            <w:r>
              <w:rPr>
                <w:rFonts w:hint="default" w:ascii="Times New Roman" w:hAnsi="Times New Roman" w:cs="Times New Roman"/>
                <w:color w:val="auto"/>
                <w:sz w:val="24"/>
              </w:rPr>
              <w:t>%</w:t>
            </w:r>
          </w:p>
        </w:tc>
        <w:tc>
          <w:tcPr>
            <w:tcW w:w="178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4165" w:type="dxa"/>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7"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1543" w:type="dxa"/>
            <w:noWrap w:val="0"/>
            <w:vAlign w:val="center"/>
          </w:tcPr>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否</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是：</w:t>
            </w:r>
            <w:r>
              <w:rPr>
                <w:rFonts w:hint="default" w:ascii="Times New Roman" w:hAnsi="Times New Roman" w:cs="Times New Roman"/>
                <w:color w:val="auto"/>
                <w:sz w:val="24"/>
                <w:u w:val="single"/>
              </w:rPr>
              <w:t xml:space="preserve">             </w:t>
            </w:r>
          </w:p>
        </w:tc>
        <w:tc>
          <w:tcPr>
            <w:tcW w:w="178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用地（用海）</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pacing w:val="-6"/>
                <w:sz w:val="24"/>
              </w:rPr>
              <w:t>面积（m</w:t>
            </w:r>
            <w:r>
              <w:rPr>
                <w:rFonts w:hint="default" w:ascii="Times New Roman" w:hAnsi="Times New Roman" w:cs="Times New Roman"/>
                <w:color w:val="auto"/>
                <w:spacing w:val="-6"/>
                <w:sz w:val="24"/>
                <w:vertAlign w:val="superscript"/>
              </w:rPr>
              <w:t>2</w:t>
            </w:r>
            <w:r>
              <w:rPr>
                <w:rFonts w:hint="default" w:ascii="Times New Roman" w:hAnsi="Times New Roman" w:cs="Times New Roman"/>
                <w:color w:val="auto"/>
                <w:spacing w:val="-6"/>
                <w:sz w:val="24"/>
              </w:rPr>
              <w:t>）</w:t>
            </w:r>
          </w:p>
        </w:tc>
        <w:tc>
          <w:tcPr>
            <w:tcW w:w="4165" w:type="dxa"/>
            <w:noWrap w:val="0"/>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不新增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7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7493" w:type="dxa"/>
            <w:gridSpan w:val="3"/>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建设项目环境影响报告表编制技术指南（污染影响类）（试行）》，建设项目产生的环境影响需要深入论证的，应按照环境影响评价相关技术导则开展专项评价工作。根据建设项目排污情况及所涉环境敏感程度，确定专项评价的类别。本项目大气、地表水、环境风险、生态和海洋专项评价具体设置情况见表1-1。</w:t>
            </w:r>
          </w:p>
          <w:p>
            <w:pPr>
              <w:keepNext w:val="0"/>
              <w:keepLines w:val="0"/>
              <w:pageBreakBefore w:val="0"/>
              <w:widowControl/>
              <w:suppressLineNumbers w:val="0"/>
              <w:kinsoku/>
              <w:wordWrap/>
              <w:overflowPunct/>
              <w:topLinePunct w:val="0"/>
              <w:bidi w:val="0"/>
              <w:spacing w:line="240" w:lineRule="auto"/>
              <w:ind w:firstLine="422" w:firstLineChars="20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kern w:val="0"/>
                <w:sz w:val="21"/>
                <w:szCs w:val="21"/>
                <w:lang w:val="en-US" w:eastAsia="zh-CN" w:bidi="ar"/>
              </w:rPr>
              <w:t>表1-1 本项目专项评价设置一览表</w:t>
            </w:r>
          </w:p>
          <w:tbl>
            <w:tblPr>
              <w:tblStyle w:val="3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576"/>
              <w:gridCol w:w="2590"/>
              <w:gridCol w:w="8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841"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vertAlign w:val="baseline"/>
                      <w:lang w:eastAsia="zh-CN"/>
                    </w:rPr>
                  </w:pPr>
                  <w:r>
                    <w:rPr>
                      <w:rFonts w:hint="default" w:ascii="Times New Roman" w:hAnsi="Times New Roman" w:eastAsia="宋体" w:cs="Times New Roman"/>
                      <w:b w:val="0"/>
                      <w:bCs w:val="0"/>
                      <w:color w:val="auto"/>
                      <w:kern w:val="0"/>
                      <w:sz w:val="21"/>
                      <w:szCs w:val="21"/>
                      <w:lang w:val="en-US" w:eastAsia="zh-CN" w:bidi="ar"/>
                    </w:rPr>
                    <w:t>专项评价的类别</w:t>
                  </w:r>
                </w:p>
              </w:tc>
              <w:tc>
                <w:tcPr>
                  <w:tcW w:w="1769"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vertAlign w:val="baseline"/>
                      <w:lang w:eastAsia="zh-CN"/>
                    </w:rPr>
                  </w:pPr>
                  <w:r>
                    <w:rPr>
                      <w:rFonts w:hint="default" w:ascii="Times New Roman" w:hAnsi="Times New Roman" w:eastAsia="宋体" w:cs="Times New Roman"/>
                      <w:b w:val="0"/>
                      <w:bCs w:val="0"/>
                      <w:color w:val="auto"/>
                      <w:kern w:val="0"/>
                      <w:sz w:val="21"/>
                      <w:szCs w:val="21"/>
                      <w:lang w:val="en-US" w:eastAsia="zh-CN" w:bidi="ar"/>
                    </w:rPr>
                    <w:t>设置原则</w:t>
                  </w:r>
                </w:p>
              </w:tc>
              <w:tc>
                <w:tcPr>
                  <w:tcW w:w="1779" w:type="pct"/>
                  <w:tcBorders>
                    <w:tl2br w:val="nil"/>
                    <w:tr2bl w:val="nil"/>
                  </w:tcBorders>
                  <w:noWrap w:val="0"/>
                  <w:vAlign w:val="center"/>
                </w:tcPr>
                <w:p>
                  <w:pPr>
                    <w:pStyle w:val="10"/>
                    <w:jc w:val="center"/>
                    <w:rPr>
                      <w:rFonts w:hint="default" w:ascii="Times New Roman" w:hAnsi="Times New Roman"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本项目</w:t>
                  </w:r>
                </w:p>
              </w:tc>
              <w:tc>
                <w:tcPr>
                  <w:tcW w:w="608" w:type="pct"/>
                  <w:tcBorders>
                    <w:tl2br w:val="nil"/>
                    <w:tr2bl w:val="nil"/>
                  </w:tcBorders>
                  <w:noWrap w:val="0"/>
                  <w:vAlign w:val="center"/>
                </w:tcPr>
                <w:p>
                  <w:pPr>
                    <w:pStyle w:val="10"/>
                    <w:jc w:val="center"/>
                    <w:rPr>
                      <w:rFonts w:hint="default" w:ascii="Times New Roman" w:hAnsi="Times New Roman"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是否设置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tcBorders>
                    <w:tl2br w:val="nil"/>
                    <w:tr2bl w:val="nil"/>
                  </w:tcBorders>
                  <w:noWrap w:val="0"/>
                  <w:vAlign w:val="center"/>
                </w:tcPr>
                <w:p>
                  <w:pPr>
                    <w:pStyle w:val="1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大气</w:t>
                  </w:r>
                </w:p>
              </w:tc>
              <w:tc>
                <w:tcPr>
                  <w:tcW w:w="1769" w:type="pct"/>
                  <w:tcBorders>
                    <w:tl2br w:val="nil"/>
                    <w:tr2bl w:val="nil"/>
                  </w:tcBorders>
                  <w:noWrap w:val="0"/>
                  <w:vAlign w:val="center"/>
                </w:tcPr>
                <w:p>
                  <w:pPr>
                    <w:keepNext w:val="0"/>
                    <w:keepLines w:val="0"/>
                    <w:widowControl/>
                    <w:suppressLineNumbers w:val="0"/>
                    <w:jc w:val="both"/>
                    <w:rPr>
                      <w:rFonts w:hint="default" w:ascii="Times New Roman" w:hAnsi="Times New Roman"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排放废气含有毒有害污染物</w:t>
                  </w:r>
                  <w:r>
                    <w:rPr>
                      <w:rFonts w:hint="default" w:ascii="Times New Roman" w:hAnsi="Times New Roman" w:eastAsia="宋体" w:cs="Times New Roman"/>
                      <w:color w:val="auto"/>
                      <w:kern w:val="0"/>
                      <w:sz w:val="21"/>
                      <w:szCs w:val="21"/>
                      <w:vertAlign w:val="superscript"/>
                      <w:lang w:val="en-US" w:eastAsia="zh-CN" w:bidi="ar"/>
                    </w:rPr>
                    <w:t>1</w:t>
                  </w:r>
                  <w:r>
                    <w:rPr>
                      <w:rFonts w:hint="default" w:ascii="Times New Roman" w:hAnsi="Times New Roman" w:eastAsia="宋体" w:cs="Times New Roman"/>
                      <w:color w:val="auto"/>
                      <w:kern w:val="0"/>
                      <w:sz w:val="21"/>
                      <w:szCs w:val="21"/>
                      <w:lang w:val="en-US" w:eastAsia="zh-CN" w:bidi="ar"/>
                    </w:rPr>
                    <w:t>、二噁英、苯并[a]芘、氰化物、氯气且厂界外500米范围内有环境空气保护目标</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的建设项目</w:t>
                  </w:r>
                </w:p>
              </w:tc>
              <w:tc>
                <w:tcPr>
                  <w:tcW w:w="1779" w:type="pct"/>
                  <w:tcBorders>
                    <w:tl2br w:val="nil"/>
                    <w:tr2bl w:val="nil"/>
                  </w:tcBorders>
                  <w:noWrap w:val="0"/>
                  <w:vAlign w:val="center"/>
                </w:tcPr>
                <w:p>
                  <w:pPr>
                    <w:keepNext w:val="0"/>
                    <w:keepLines w:val="0"/>
                    <w:widowControl/>
                    <w:suppressLineNumbers w:val="0"/>
                    <w:jc w:val="both"/>
                    <w:rPr>
                      <w:rFonts w:hint="default" w:ascii="Times New Roman" w:hAnsi="Times New Roman"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本项目不属于排放废气含有毒有害污染物</w:t>
                  </w:r>
                  <w:r>
                    <w:rPr>
                      <w:rFonts w:hint="default" w:ascii="Times New Roman" w:hAnsi="Times New Roman" w:eastAsia="宋体" w:cs="Times New Roman"/>
                      <w:color w:val="auto"/>
                      <w:kern w:val="0"/>
                      <w:sz w:val="21"/>
                      <w:szCs w:val="21"/>
                      <w:vertAlign w:val="superscript"/>
                      <w:lang w:val="en-US" w:eastAsia="zh-CN" w:bidi="ar"/>
                    </w:rPr>
                    <w:t>1</w:t>
                  </w:r>
                  <w:r>
                    <w:rPr>
                      <w:rFonts w:hint="default" w:ascii="Times New Roman" w:hAnsi="Times New Roman" w:eastAsia="宋体" w:cs="Times New Roman"/>
                      <w:color w:val="auto"/>
                      <w:kern w:val="0"/>
                      <w:sz w:val="21"/>
                      <w:szCs w:val="21"/>
                      <w:lang w:val="en-US" w:eastAsia="zh-CN" w:bidi="ar"/>
                    </w:rPr>
                    <w:t>、二噁英、苯并[a]芘、氰化物、氯气且厂界外500米范围内有环境空气保护目标的建设项目</w:t>
                  </w:r>
                </w:p>
              </w:tc>
              <w:tc>
                <w:tcPr>
                  <w:tcW w:w="608" w:type="pct"/>
                  <w:tcBorders>
                    <w:tl2br w:val="nil"/>
                    <w:tr2bl w:val="nil"/>
                  </w:tcBorders>
                  <w:noWrap w:val="0"/>
                  <w:vAlign w:val="center"/>
                </w:tcPr>
                <w:p>
                  <w:pPr>
                    <w:pStyle w:val="1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tcBorders>
                    <w:tl2br w:val="nil"/>
                    <w:tr2bl w:val="nil"/>
                  </w:tcBorders>
                  <w:noWrap w:val="0"/>
                  <w:vAlign w:val="center"/>
                </w:tcPr>
                <w:p>
                  <w:pPr>
                    <w:pStyle w:val="1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地表水</w:t>
                  </w:r>
                </w:p>
              </w:tc>
              <w:tc>
                <w:tcPr>
                  <w:tcW w:w="1769" w:type="pct"/>
                  <w:tcBorders>
                    <w:tl2br w:val="nil"/>
                    <w:tr2bl w:val="nil"/>
                  </w:tcBorders>
                  <w:noWrap w:val="0"/>
                  <w:vAlign w:val="center"/>
                </w:tcPr>
                <w:p>
                  <w:pPr>
                    <w:keepNext w:val="0"/>
                    <w:keepLines w:val="0"/>
                    <w:widowControl/>
                    <w:suppressLineNumbers w:val="0"/>
                    <w:jc w:val="both"/>
                    <w:rPr>
                      <w:rFonts w:hint="default" w:ascii="Times New Roman" w:hAnsi="Times New Roman"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新增工业废水直排建设项目（槽罐车外送污水处理厂的除外）；新增废水直排的污水集中处理厂</w:t>
                  </w:r>
                </w:p>
              </w:tc>
              <w:tc>
                <w:tcPr>
                  <w:tcW w:w="1779" w:type="pct"/>
                  <w:tcBorders>
                    <w:tl2br w:val="nil"/>
                    <w:tr2bl w:val="nil"/>
                  </w:tcBorders>
                  <w:noWrap w:val="0"/>
                  <w:vAlign w:val="center"/>
                </w:tcPr>
                <w:p>
                  <w:pPr>
                    <w:keepNext w:val="0"/>
                    <w:keepLines w:val="0"/>
                    <w:widowControl/>
                    <w:suppressLineNumbers w:val="0"/>
                    <w:jc w:val="both"/>
                    <w:rPr>
                      <w:rFonts w:hint="default" w:ascii="Times New Roman" w:hAnsi="Times New Roman"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本项目不属于新增工业废水直排建设项目</w:t>
                  </w:r>
                </w:p>
              </w:tc>
              <w:tc>
                <w:tcPr>
                  <w:tcW w:w="608" w:type="pct"/>
                  <w:tcBorders>
                    <w:tl2br w:val="nil"/>
                    <w:tr2bl w:val="nil"/>
                  </w:tcBorders>
                  <w:noWrap w:val="0"/>
                  <w:vAlign w:val="center"/>
                </w:tcPr>
                <w:p>
                  <w:pPr>
                    <w:pStyle w:val="1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tcBorders>
                    <w:tl2br w:val="nil"/>
                    <w:tr2bl w:val="nil"/>
                  </w:tcBorders>
                  <w:noWrap w:val="0"/>
                  <w:vAlign w:val="center"/>
                </w:tcPr>
                <w:p>
                  <w:pPr>
                    <w:pStyle w:val="1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环境风险</w:t>
                  </w:r>
                </w:p>
              </w:tc>
              <w:tc>
                <w:tcPr>
                  <w:tcW w:w="1769" w:type="pct"/>
                  <w:tcBorders>
                    <w:tl2br w:val="nil"/>
                    <w:tr2bl w:val="nil"/>
                  </w:tcBorders>
                  <w:noWrap w:val="0"/>
                  <w:vAlign w:val="center"/>
                </w:tcPr>
                <w:p>
                  <w:pPr>
                    <w:keepNext w:val="0"/>
                    <w:keepLines w:val="0"/>
                    <w:widowControl/>
                    <w:suppressLineNumbers w:val="0"/>
                    <w:jc w:val="both"/>
                    <w:rPr>
                      <w:rFonts w:hint="default" w:ascii="Times New Roman" w:hAnsi="Times New Roman"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有毒有害和易燃易爆危险物质存储量超过临界量</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的建设项目</w:t>
                  </w:r>
                </w:p>
              </w:tc>
              <w:tc>
                <w:tcPr>
                  <w:tcW w:w="1779" w:type="pct"/>
                  <w:tcBorders>
                    <w:tl2br w:val="nil"/>
                    <w:tr2bl w:val="nil"/>
                  </w:tcBorders>
                  <w:noWrap w:val="0"/>
                  <w:vAlign w:val="center"/>
                </w:tcPr>
                <w:p>
                  <w:pPr>
                    <w:keepNext w:val="0"/>
                    <w:keepLines w:val="0"/>
                    <w:widowControl/>
                    <w:suppressLineNumbers w:val="0"/>
                    <w:jc w:val="both"/>
                    <w:rPr>
                      <w:rFonts w:hint="default" w:ascii="Times New Roman" w:hAnsi="Times New Roman"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本项目不属于有毒有害和易燃易爆危险物质存储量超过临界量的建设项目</w:t>
                  </w:r>
                </w:p>
              </w:tc>
              <w:tc>
                <w:tcPr>
                  <w:tcW w:w="608" w:type="pct"/>
                  <w:tcBorders>
                    <w:tl2br w:val="nil"/>
                    <w:tr2bl w:val="nil"/>
                  </w:tcBorders>
                  <w:noWrap w:val="0"/>
                  <w:vAlign w:val="center"/>
                </w:tcPr>
                <w:p>
                  <w:pPr>
                    <w:pStyle w:val="1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tcBorders>
                    <w:tl2br w:val="nil"/>
                    <w:tr2bl w:val="nil"/>
                  </w:tcBorders>
                  <w:noWrap w:val="0"/>
                  <w:vAlign w:val="center"/>
                </w:tcPr>
                <w:p>
                  <w:pPr>
                    <w:pStyle w:val="1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生态</w:t>
                  </w:r>
                </w:p>
              </w:tc>
              <w:tc>
                <w:tcPr>
                  <w:tcW w:w="1769" w:type="pct"/>
                  <w:tcBorders>
                    <w:tl2br w:val="nil"/>
                    <w:tr2bl w:val="nil"/>
                  </w:tcBorders>
                  <w:noWrap w:val="0"/>
                  <w:vAlign w:val="center"/>
                </w:tcPr>
                <w:p>
                  <w:pPr>
                    <w:keepNext w:val="0"/>
                    <w:keepLines w:val="0"/>
                    <w:widowControl/>
                    <w:suppressLineNumbers w:val="0"/>
                    <w:jc w:val="both"/>
                    <w:rPr>
                      <w:rFonts w:hint="default" w:ascii="Times New Roman" w:hAnsi="Times New Roman"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取水口下游500米范围内有重要水生生物的自然产卵场、索饵场、越冬场和洄游通道的新增河道取水的污染类建设项目</w:t>
                  </w:r>
                </w:p>
              </w:tc>
              <w:tc>
                <w:tcPr>
                  <w:tcW w:w="1779" w:type="pct"/>
                  <w:tcBorders>
                    <w:tl2br w:val="nil"/>
                    <w:tr2bl w:val="nil"/>
                  </w:tcBorders>
                  <w:noWrap w:val="0"/>
                  <w:vAlign w:val="center"/>
                </w:tcPr>
                <w:p>
                  <w:pPr>
                    <w:keepNext w:val="0"/>
                    <w:keepLines w:val="0"/>
                    <w:widowControl/>
                    <w:suppressLineNumbers w:val="0"/>
                    <w:jc w:val="both"/>
                    <w:rPr>
                      <w:rFonts w:hint="default" w:ascii="Times New Roman" w:hAnsi="Times New Roman"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本项目不属于取水口下游 500米范围内有重要水生生物的自然产卵场、索饵场、越冬场和洄游通道的新增河道取水的污染类建设项目</w:t>
                  </w:r>
                </w:p>
              </w:tc>
              <w:tc>
                <w:tcPr>
                  <w:tcW w:w="608" w:type="pct"/>
                  <w:tcBorders>
                    <w:tl2br w:val="nil"/>
                    <w:tr2bl w:val="nil"/>
                  </w:tcBorders>
                  <w:noWrap w:val="0"/>
                  <w:vAlign w:val="center"/>
                </w:tcPr>
                <w:p>
                  <w:pPr>
                    <w:pStyle w:val="1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tcBorders>
                    <w:tl2br w:val="nil"/>
                    <w:tr2bl w:val="nil"/>
                  </w:tcBorders>
                  <w:noWrap w:val="0"/>
                  <w:vAlign w:val="center"/>
                </w:tcPr>
                <w:p>
                  <w:pPr>
                    <w:pStyle w:val="1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海洋</w:t>
                  </w:r>
                </w:p>
              </w:tc>
              <w:tc>
                <w:tcPr>
                  <w:tcW w:w="1769" w:type="pct"/>
                  <w:tcBorders>
                    <w:tl2br w:val="nil"/>
                    <w:tr2bl w:val="nil"/>
                  </w:tcBorders>
                  <w:noWrap w:val="0"/>
                  <w:vAlign w:val="center"/>
                </w:tcPr>
                <w:p>
                  <w:pPr>
                    <w:keepNext w:val="0"/>
                    <w:keepLines w:val="0"/>
                    <w:widowControl/>
                    <w:suppressLineNumbers w:val="0"/>
                    <w:jc w:val="both"/>
                    <w:rPr>
                      <w:rFonts w:hint="default" w:ascii="Times New Roman" w:hAnsi="Times New Roman"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直接向海排放污染物的海洋工程建设项目</w:t>
                  </w:r>
                </w:p>
              </w:tc>
              <w:tc>
                <w:tcPr>
                  <w:tcW w:w="1779" w:type="pct"/>
                  <w:tcBorders>
                    <w:tl2br w:val="nil"/>
                    <w:tr2bl w:val="nil"/>
                  </w:tcBorders>
                  <w:noWrap w:val="0"/>
                  <w:vAlign w:val="center"/>
                </w:tcPr>
                <w:p>
                  <w:pPr>
                    <w:keepNext w:val="0"/>
                    <w:keepLines w:val="0"/>
                    <w:widowControl/>
                    <w:suppressLineNumbers w:val="0"/>
                    <w:jc w:val="both"/>
                    <w:rPr>
                      <w:rFonts w:hint="default" w:ascii="Times New Roman" w:hAnsi="Times New Roman"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本项目不属于直接向海排放污染物的海洋工程建设项目</w:t>
                  </w:r>
                </w:p>
              </w:tc>
              <w:tc>
                <w:tcPr>
                  <w:tcW w:w="608" w:type="pct"/>
                  <w:tcBorders>
                    <w:tl2br w:val="nil"/>
                    <w:tr2bl w:val="nil"/>
                  </w:tcBorders>
                  <w:noWrap w:val="0"/>
                  <w:vAlign w:val="center"/>
                </w:tcPr>
                <w:p>
                  <w:pPr>
                    <w:pStyle w:val="1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否</w:t>
                  </w:r>
                </w:p>
              </w:tc>
            </w:tr>
          </w:tbl>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auto"/>
                <w:sz w:val="24"/>
                <w:szCs w:val="24"/>
                <w:lang w:eastAsia="zh-CN"/>
              </w:rPr>
            </w:pPr>
            <w:r>
              <w:rPr>
                <w:rFonts w:hint="default"/>
                <w:color w:val="auto"/>
                <w:sz w:val="24"/>
                <w:szCs w:val="24"/>
                <w:lang w:eastAsia="zh-CN"/>
              </w:rPr>
              <w:t>本项目土壤、声环境不开展专项评价，项目不涉及集中式饮用水水源和热水、矿泉水、温泉等特殊地下水资源保护区，因此不开展地下水专项评价。</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82" w:firstLineChars="200"/>
              <w:jc w:val="both"/>
              <w:textAlignment w:val="auto"/>
              <w:rPr>
                <w:rFonts w:hint="default" w:ascii="Times New Roman" w:hAnsi="Times New Roman" w:cs="Times New Roman"/>
                <w:color w:val="auto"/>
                <w:kern w:val="0"/>
                <w:sz w:val="24"/>
                <w:szCs w:val="24"/>
              </w:rPr>
            </w:pPr>
            <w:r>
              <w:rPr>
                <w:rFonts w:hint="default"/>
                <w:b/>
                <w:bCs/>
                <w:color w:val="auto"/>
                <w:sz w:val="24"/>
                <w:szCs w:val="24"/>
                <w:lang w:eastAsia="zh-CN"/>
              </w:rPr>
              <w:t>综上，本项目不需要设置专项评价。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77" w:type="dxa"/>
            <w:noWrap w:val="0"/>
            <w:vAlign w:val="center"/>
          </w:tcPr>
          <w:p>
            <w:pPr>
              <w:pStyle w:val="9"/>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lang w:val="en-US" w:eastAsia="zh-CN"/>
              </w:rPr>
            </w:pPr>
            <w:r>
              <w:rPr>
                <w:color w:val="auto"/>
                <w:sz w:val="24"/>
              </w:rPr>
              <w:t>规划情况</w:t>
            </w:r>
          </w:p>
        </w:tc>
        <w:tc>
          <w:tcPr>
            <w:tcW w:w="7493" w:type="dxa"/>
            <w:gridSpan w:val="3"/>
            <w:noWrap w:val="0"/>
            <w:vAlign w:val="center"/>
          </w:tcPr>
          <w:p>
            <w:pPr>
              <w:pStyle w:val="9"/>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1、规划名称：《犍为新型工业基地总体规划（2019—2030）》；</w:t>
            </w:r>
          </w:p>
          <w:p>
            <w:pPr>
              <w:pStyle w:val="9"/>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2、审批机关：四川省人民政府；</w:t>
            </w:r>
          </w:p>
          <w:p>
            <w:pPr>
              <w:pStyle w:val="9"/>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3、审批文件名称：《四川省人民政府关于设立四川蒲江经济开发区等64家省级开发区的批复》（川府函〔2019〕20号）。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377" w:type="dxa"/>
            <w:noWrap w:val="0"/>
            <w:vAlign w:val="center"/>
          </w:tcPr>
          <w:p>
            <w:pPr>
              <w:adjustRightInd w:val="0"/>
              <w:snapToGrid w:val="0"/>
              <w:jc w:val="center"/>
              <w:rPr>
                <w:color w:val="auto"/>
                <w:sz w:val="24"/>
              </w:rPr>
            </w:pPr>
            <w:r>
              <w:rPr>
                <w:color w:val="auto"/>
                <w:sz w:val="24"/>
              </w:rPr>
              <w:t>规划环境影响</w:t>
            </w:r>
          </w:p>
          <w:p>
            <w:pPr>
              <w:adjustRightInd w:val="0"/>
              <w:snapToGrid w:val="0"/>
              <w:jc w:val="center"/>
              <w:rPr>
                <w:color w:val="auto"/>
                <w:kern w:val="0"/>
                <w:sz w:val="24"/>
              </w:rPr>
            </w:pPr>
            <w:r>
              <w:rPr>
                <w:color w:val="auto"/>
                <w:sz w:val="24"/>
              </w:rPr>
              <w:t>评价情况</w:t>
            </w:r>
          </w:p>
        </w:tc>
        <w:tc>
          <w:tcPr>
            <w:tcW w:w="7493" w:type="dxa"/>
            <w:gridSpan w:val="3"/>
            <w:noWrap w:val="0"/>
            <w:vAlign w:val="center"/>
          </w:tcPr>
          <w:p>
            <w:pPr>
              <w:spacing w:line="360" w:lineRule="auto"/>
              <w:jc w:val="left"/>
              <w:rPr>
                <w:rFonts w:hint="default"/>
                <w:color w:val="auto"/>
                <w:sz w:val="24"/>
                <w:szCs w:val="32"/>
              </w:rPr>
            </w:pPr>
            <w:r>
              <w:rPr>
                <w:rFonts w:hint="default"/>
                <w:color w:val="auto"/>
                <w:sz w:val="24"/>
                <w:szCs w:val="32"/>
              </w:rPr>
              <w:t>1、规划环境影响评价文件名称：《犍为新型工业基地总体规划（2019-2030）环境影响报告书》；</w:t>
            </w:r>
          </w:p>
          <w:p>
            <w:pPr>
              <w:widowControl/>
              <w:spacing w:line="360" w:lineRule="auto"/>
              <w:jc w:val="left"/>
              <w:rPr>
                <w:rFonts w:hint="default"/>
                <w:color w:val="auto"/>
                <w:sz w:val="24"/>
                <w:szCs w:val="32"/>
              </w:rPr>
            </w:pPr>
            <w:r>
              <w:rPr>
                <w:rFonts w:hint="default"/>
                <w:color w:val="auto"/>
                <w:sz w:val="24"/>
                <w:szCs w:val="32"/>
              </w:rPr>
              <w:t>2、审查机关：四川省生态环境厅；</w:t>
            </w:r>
          </w:p>
          <w:p>
            <w:pPr>
              <w:spacing w:line="360" w:lineRule="auto"/>
              <w:rPr>
                <w:rFonts w:hint="default"/>
                <w:color w:val="auto"/>
                <w:sz w:val="24"/>
                <w:szCs w:val="32"/>
              </w:rPr>
            </w:pPr>
            <w:r>
              <w:rPr>
                <w:rFonts w:hint="default"/>
                <w:color w:val="auto"/>
                <w:sz w:val="24"/>
                <w:szCs w:val="32"/>
              </w:rPr>
              <w:t>3、审查文件名称及文号：四川省生态环境厅关于印发《犍为新型工业基地总体规划（2019-2030）环境影响报告书》的审查意见（川环建函[2020]28号）</w:t>
            </w:r>
            <w:r>
              <w:rPr>
                <w:rFonts w:hint="eastAsia"/>
                <w:color w:val="auto"/>
                <w:sz w:val="24"/>
                <w:szCs w:val="32"/>
                <w:lang w:eastAsia="zh-CN"/>
              </w:rPr>
              <w:t>、《四川省生态环境厅关于犍为县工业集中区扩区规划环境影响跟踪评价工作意见的函》（</w:t>
            </w:r>
            <w:r>
              <w:rPr>
                <w:color w:val="auto"/>
                <w:sz w:val="24"/>
                <w:szCs w:val="32"/>
              </w:rPr>
              <w:t>川环建函[20</w:t>
            </w:r>
            <w:r>
              <w:rPr>
                <w:rFonts w:hint="eastAsia"/>
                <w:color w:val="auto"/>
                <w:sz w:val="24"/>
                <w:szCs w:val="32"/>
                <w:lang w:val="en-US" w:eastAsia="zh-CN"/>
              </w:rPr>
              <w:t>19</w:t>
            </w:r>
            <w:r>
              <w:rPr>
                <w:color w:val="auto"/>
                <w:sz w:val="24"/>
                <w:szCs w:val="32"/>
              </w:rPr>
              <w:t>]</w:t>
            </w:r>
            <w:r>
              <w:rPr>
                <w:rFonts w:hint="eastAsia"/>
                <w:color w:val="auto"/>
                <w:sz w:val="24"/>
                <w:szCs w:val="32"/>
                <w:lang w:val="en-US" w:eastAsia="zh-CN"/>
              </w:rPr>
              <w:t>60</w:t>
            </w:r>
            <w:r>
              <w:rPr>
                <w:color w:val="auto"/>
                <w:sz w:val="24"/>
                <w:szCs w:val="32"/>
              </w:rPr>
              <w:t>号</w:t>
            </w:r>
            <w:r>
              <w:rPr>
                <w:rFonts w:hint="eastAsia"/>
                <w:color w:val="auto"/>
                <w:sz w:val="24"/>
                <w:szCs w:val="32"/>
                <w:lang w:eastAsia="zh-CN"/>
              </w:rPr>
              <w:t>）</w:t>
            </w:r>
            <w:r>
              <w:rPr>
                <w:rFonts w:hint="default"/>
                <w:color w:val="auto"/>
                <w:sz w:val="24"/>
                <w:szCs w:val="32"/>
              </w:rPr>
              <w:t>。</w:t>
            </w:r>
          </w:p>
          <w:p>
            <w:pPr>
              <w:pStyle w:val="2"/>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30" w:hRule="atLeast"/>
          <w:jc w:val="center"/>
        </w:trPr>
        <w:tc>
          <w:tcPr>
            <w:tcW w:w="1377" w:type="dxa"/>
            <w:noWrap w:val="0"/>
            <w:vAlign w:val="center"/>
          </w:tcPr>
          <w:p>
            <w:pPr>
              <w:autoSpaceDE w:val="0"/>
              <w:autoSpaceDN w:val="0"/>
              <w:adjustRightInd w:val="0"/>
              <w:snapToGrid w:val="0"/>
              <w:jc w:val="center"/>
              <w:rPr>
                <w:color w:val="auto"/>
                <w:kern w:val="0"/>
                <w:sz w:val="24"/>
              </w:rPr>
            </w:pPr>
            <w:r>
              <w:rPr>
                <w:color w:val="auto"/>
                <w:kern w:val="0"/>
                <w:sz w:val="24"/>
              </w:rPr>
              <w:t>规划及规划环境</w:t>
            </w:r>
          </w:p>
          <w:p>
            <w:pPr>
              <w:autoSpaceDE w:val="0"/>
              <w:autoSpaceDN w:val="0"/>
              <w:adjustRightInd w:val="0"/>
              <w:snapToGrid w:val="0"/>
              <w:jc w:val="center"/>
              <w:rPr>
                <w:color w:val="auto"/>
                <w:kern w:val="0"/>
                <w:szCs w:val="21"/>
              </w:rPr>
            </w:pPr>
            <w:r>
              <w:rPr>
                <w:color w:val="auto"/>
                <w:kern w:val="0"/>
                <w:sz w:val="24"/>
              </w:rPr>
              <w:t>影响评价符合性分析</w:t>
            </w:r>
          </w:p>
        </w:tc>
        <w:tc>
          <w:tcPr>
            <w:tcW w:w="7493" w:type="dxa"/>
            <w:gridSpan w:val="3"/>
            <w:noWrap w:val="0"/>
            <w:vAlign w:val="center"/>
          </w:tcPr>
          <w:p>
            <w:pPr>
              <w:pStyle w:val="2"/>
              <w:spacing w:before="0" w:after="0" w:afterAutospacing="0" w:line="360" w:lineRule="auto"/>
              <w:ind w:left="0" w:right="0" w:firstLine="472" w:firstLineChars="200"/>
              <w:rPr>
                <w:rFonts w:ascii="Times New Roman" w:hAnsi="Times New Roman" w:eastAsia="宋体" w:cs="Times New Roman"/>
                <w:color w:val="auto"/>
                <w:sz w:val="24"/>
                <w:szCs w:val="24"/>
              </w:rPr>
            </w:pPr>
            <w:r>
              <w:rPr>
                <w:rFonts w:hint="eastAsia" w:ascii="宋体" w:eastAsia="宋体" w:cs="Times New Roman"/>
                <w:color w:val="auto"/>
                <w:sz w:val="24"/>
                <w:szCs w:val="24"/>
                <w:lang w:val="en-US" w:eastAsia="zh-CN"/>
              </w:rPr>
              <w:t>根据</w:t>
            </w:r>
            <w:r>
              <w:rPr>
                <w:rFonts w:ascii="宋体" w:eastAsia="宋体" w:cs="Times New Roman"/>
                <w:color w:val="auto"/>
                <w:sz w:val="24"/>
                <w:szCs w:val="24"/>
              </w:rPr>
              <w:t>《犍为新型工业基地总体规划（</w:t>
            </w:r>
            <w:r>
              <w:rPr>
                <w:rFonts w:ascii="Times New Roman" w:hAnsi="Times New Roman" w:eastAsia="宋体" w:cs="Times New Roman"/>
                <w:color w:val="auto"/>
                <w:sz w:val="24"/>
                <w:szCs w:val="24"/>
              </w:rPr>
              <w:t>2019-2030</w:t>
            </w:r>
            <w:r>
              <w:rPr>
                <w:rFonts w:ascii="宋体" w:eastAsia="宋体" w:cs="Times New Roman"/>
                <w:color w:val="auto"/>
                <w:sz w:val="24"/>
                <w:szCs w:val="24"/>
              </w:rPr>
              <w:t>）环境影响报告书》及四川省生态环境厅关于印发《犍为新型工业基地总体规划（</w:t>
            </w:r>
            <w:r>
              <w:rPr>
                <w:rFonts w:ascii="Times New Roman" w:hAnsi="Times New Roman" w:eastAsia="宋体" w:cs="Times New Roman"/>
                <w:color w:val="auto"/>
                <w:sz w:val="24"/>
                <w:szCs w:val="24"/>
              </w:rPr>
              <w:t>2019-2030</w:t>
            </w:r>
            <w:r>
              <w:rPr>
                <w:rFonts w:ascii="宋体" w:eastAsia="宋体" w:cs="Times New Roman"/>
                <w:color w:val="auto"/>
                <w:sz w:val="24"/>
                <w:szCs w:val="24"/>
              </w:rPr>
              <w:t>）环境影响报告书》的审查意见（川环建函</w:t>
            </w:r>
            <w:r>
              <w:rPr>
                <w:rFonts w:ascii="Times New Roman" w:hAnsi="Times New Roman" w:eastAsia="宋体" w:cs="Times New Roman"/>
                <w:color w:val="auto"/>
                <w:sz w:val="24"/>
                <w:szCs w:val="24"/>
              </w:rPr>
              <w:t>[2020]28</w:t>
            </w:r>
            <w:r>
              <w:rPr>
                <w:rFonts w:ascii="宋体" w:eastAsia="宋体" w:cs="Times New Roman"/>
                <w:color w:val="auto"/>
                <w:sz w:val="24"/>
                <w:szCs w:val="24"/>
              </w:rPr>
              <w:t>号）</w:t>
            </w:r>
            <w:r>
              <w:rPr>
                <w:rFonts w:hint="eastAsia" w:ascii="宋体" w:eastAsia="宋体" w:cs="Times New Roman"/>
                <w:color w:val="auto"/>
                <w:sz w:val="24"/>
                <w:szCs w:val="24"/>
                <w:lang w:eastAsia="zh-CN"/>
              </w:rPr>
              <w:t>、《四川省生态环境厅关于犍为县工业集中区扩区规划环境影响跟踪评价工作意见的函》（</w:t>
            </w:r>
            <w:r>
              <w:rPr>
                <w:rFonts w:ascii="宋体" w:eastAsia="宋体" w:cs="Times New Roman"/>
                <w:color w:val="auto"/>
                <w:sz w:val="24"/>
                <w:szCs w:val="24"/>
              </w:rPr>
              <w:t>川环建函</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19</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60</w:t>
            </w:r>
            <w:r>
              <w:rPr>
                <w:rFonts w:ascii="宋体" w:eastAsia="宋体" w:cs="Times New Roman"/>
                <w:color w:val="auto"/>
                <w:sz w:val="24"/>
                <w:szCs w:val="24"/>
              </w:rPr>
              <w:t>号</w:t>
            </w:r>
            <w:r>
              <w:rPr>
                <w:rFonts w:hint="eastAsia" w:ascii="宋体" w:eastAsia="宋体" w:cs="Times New Roman"/>
                <w:color w:val="auto"/>
                <w:sz w:val="24"/>
                <w:szCs w:val="24"/>
                <w:lang w:eastAsia="zh-CN"/>
              </w:rPr>
              <w:t>）</w:t>
            </w:r>
            <w:r>
              <w:rPr>
                <w:rFonts w:ascii="宋体" w:eastAsia="宋体" w:cs="Times New Roman"/>
                <w:color w:val="auto"/>
                <w:sz w:val="24"/>
                <w:szCs w:val="24"/>
              </w:rPr>
              <w:t>可知：</w:t>
            </w:r>
          </w:p>
          <w:p>
            <w:pPr>
              <w:pStyle w:val="2"/>
              <w:spacing w:before="0" w:after="0" w:afterAutospacing="0" w:line="360" w:lineRule="auto"/>
              <w:ind w:left="0" w:right="0" w:firstLine="474" w:firstLineChars="200"/>
              <w:rPr>
                <w:rFonts w:ascii="Times New Roman" w:hAnsi="Times New Roman" w:eastAsia="宋体" w:cs="Times New Roman"/>
                <w:color w:val="auto"/>
                <w:sz w:val="24"/>
                <w:szCs w:val="24"/>
              </w:rPr>
            </w:pPr>
            <w:r>
              <w:rPr>
                <w:rFonts w:ascii="宋体" w:eastAsia="宋体" w:cs="Times New Roman"/>
                <w:b/>
                <w:bCs/>
                <w:color w:val="auto"/>
                <w:sz w:val="24"/>
                <w:szCs w:val="24"/>
              </w:rPr>
              <w:t>一</w:t>
            </w:r>
            <w:r>
              <w:rPr>
                <w:rFonts w:hint="eastAsia" w:ascii="宋体" w:eastAsia="宋体" w:cs="Times New Roman"/>
                <w:b/>
                <w:bCs/>
                <w:color w:val="auto"/>
                <w:sz w:val="24"/>
                <w:szCs w:val="24"/>
                <w:lang w:eastAsia="zh-CN"/>
              </w:rPr>
              <w:t>、</w:t>
            </w:r>
            <w:r>
              <w:rPr>
                <w:rFonts w:ascii="宋体" w:eastAsia="宋体" w:cs="Times New Roman"/>
                <w:b/>
                <w:bCs/>
                <w:color w:val="auto"/>
                <w:sz w:val="24"/>
                <w:szCs w:val="24"/>
              </w:rPr>
              <w:t>规划范围</w:t>
            </w:r>
          </w:p>
          <w:p>
            <w:pPr>
              <w:pStyle w:val="2"/>
              <w:spacing w:before="0" w:after="0" w:afterAutospacing="0" w:line="360" w:lineRule="auto"/>
              <w:ind w:left="0" w:right="0" w:firstLine="472" w:firstLineChars="200"/>
              <w:rPr>
                <w:rFonts w:ascii="Times New Roman" w:hAnsi="Times New Roman" w:eastAsia="宋体" w:cs="Times New Roman"/>
                <w:color w:val="auto"/>
                <w:sz w:val="24"/>
                <w:szCs w:val="24"/>
              </w:rPr>
            </w:pPr>
            <w:r>
              <w:rPr>
                <w:rFonts w:ascii="宋体" w:eastAsia="宋体" w:cs="Times New Roman"/>
                <w:color w:val="auto"/>
                <w:sz w:val="24"/>
                <w:szCs w:val="24"/>
              </w:rPr>
              <w:t>规划范围总面积</w:t>
            </w:r>
            <w:r>
              <w:rPr>
                <w:rFonts w:ascii="Times New Roman" w:hAnsi="Times New Roman" w:eastAsia="宋体" w:cs="Times New Roman"/>
                <w:color w:val="auto"/>
                <w:sz w:val="24"/>
                <w:szCs w:val="24"/>
              </w:rPr>
              <w:t>2424.50</w:t>
            </w:r>
            <w:r>
              <w:rPr>
                <w:rFonts w:ascii="宋体" w:eastAsia="宋体" w:cs="Times New Roman"/>
                <w:color w:val="auto"/>
                <w:sz w:val="24"/>
                <w:szCs w:val="24"/>
              </w:rPr>
              <w:t>公顷，包括石马坝组团、机场坝组团、孝姑组团、新民组团。其中石马坝组团为原犍为工业集中区的盐化工产业园，规划用地面积</w:t>
            </w:r>
            <w:r>
              <w:rPr>
                <w:rFonts w:ascii="Times New Roman" w:hAnsi="Times New Roman" w:eastAsia="宋体" w:cs="Times New Roman"/>
                <w:color w:val="auto"/>
                <w:sz w:val="24"/>
                <w:szCs w:val="24"/>
              </w:rPr>
              <w:t>191.39</w:t>
            </w:r>
            <w:r>
              <w:rPr>
                <w:rFonts w:ascii="宋体" w:eastAsia="宋体" w:cs="Times New Roman"/>
                <w:color w:val="auto"/>
                <w:sz w:val="24"/>
                <w:szCs w:val="24"/>
              </w:rPr>
              <w:t>公顷；机场坝组团包含现状玖龙纸业（乐山）有限公司和四川川南减震器集团公司用地范围，规划用地面积为</w:t>
            </w:r>
            <w:r>
              <w:rPr>
                <w:rFonts w:ascii="Times New Roman" w:hAnsi="Times New Roman" w:eastAsia="宋体" w:cs="Times New Roman"/>
                <w:color w:val="auto"/>
                <w:sz w:val="24"/>
                <w:szCs w:val="24"/>
              </w:rPr>
              <w:t>83.76</w:t>
            </w:r>
            <w:r>
              <w:rPr>
                <w:rFonts w:ascii="宋体" w:eastAsia="宋体" w:cs="Times New Roman"/>
                <w:color w:val="auto"/>
                <w:sz w:val="24"/>
                <w:szCs w:val="24"/>
              </w:rPr>
              <w:t>公顷；孝姑组团主要涉及孝姑镇的永平村、红久村、八一村、石盘村、沙湾村、田佳村，龙孔镇的陶家村、黎明村，规划用地面积为</w:t>
            </w:r>
            <w:r>
              <w:rPr>
                <w:rFonts w:ascii="Times New Roman" w:hAnsi="Times New Roman" w:eastAsia="宋体" w:cs="Times New Roman"/>
                <w:color w:val="auto"/>
                <w:sz w:val="24"/>
                <w:szCs w:val="24"/>
              </w:rPr>
              <w:t>2013.81</w:t>
            </w:r>
            <w:r>
              <w:rPr>
                <w:rFonts w:ascii="宋体" w:eastAsia="宋体" w:cs="Times New Roman"/>
                <w:color w:val="auto"/>
                <w:sz w:val="24"/>
                <w:szCs w:val="24"/>
              </w:rPr>
              <w:t>公顷；新民组团主要涉及新民镇的土坪村和板桥村的规划用地面积为</w:t>
            </w:r>
            <w:r>
              <w:rPr>
                <w:rFonts w:ascii="Times New Roman" w:hAnsi="Times New Roman" w:eastAsia="宋体" w:cs="Times New Roman"/>
                <w:color w:val="auto"/>
                <w:sz w:val="24"/>
                <w:szCs w:val="24"/>
              </w:rPr>
              <w:t>135.54</w:t>
            </w:r>
            <w:r>
              <w:rPr>
                <w:rFonts w:ascii="宋体" w:eastAsia="宋体" w:cs="Times New Roman"/>
                <w:color w:val="auto"/>
                <w:sz w:val="24"/>
                <w:szCs w:val="24"/>
              </w:rPr>
              <w:t>公顷。</w:t>
            </w:r>
          </w:p>
          <w:p>
            <w:pPr>
              <w:pStyle w:val="2"/>
              <w:spacing w:before="0" w:after="0" w:afterAutospacing="0" w:line="360" w:lineRule="auto"/>
              <w:ind w:left="0" w:right="0" w:firstLine="474" w:firstLineChars="200"/>
              <w:rPr>
                <w:rFonts w:ascii="Times New Roman" w:hAnsi="Times New Roman" w:eastAsia="宋体" w:cs="Times New Roman"/>
                <w:b/>
                <w:bCs/>
                <w:color w:val="auto"/>
                <w:sz w:val="24"/>
                <w:szCs w:val="24"/>
              </w:rPr>
            </w:pPr>
            <w:r>
              <w:rPr>
                <w:rFonts w:ascii="宋体" w:eastAsia="宋体" w:cs="Times New Roman"/>
                <w:b/>
                <w:bCs/>
                <w:color w:val="auto"/>
                <w:sz w:val="24"/>
                <w:szCs w:val="24"/>
              </w:rPr>
              <w:t>二</w:t>
            </w:r>
            <w:r>
              <w:rPr>
                <w:rFonts w:hint="eastAsia" w:ascii="宋体" w:eastAsia="宋体" w:cs="Times New Roman"/>
                <w:b/>
                <w:bCs/>
                <w:color w:val="auto"/>
                <w:sz w:val="24"/>
                <w:szCs w:val="24"/>
                <w:lang w:eastAsia="zh-CN"/>
              </w:rPr>
              <w:t>、</w:t>
            </w:r>
            <w:r>
              <w:rPr>
                <w:rFonts w:ascii="宋体" w:eastAsia="宋体" w:cs="Times New Roman"/>
                <w:b/>
                <w:bCs/>
                <w:color w:val="auto"/>
                <w:sz w:val="24"/>
                <w:szCs w:val="24"/>
              </w:rPr>
              <w:t>规划期限</w:t>
            </w:r>
          </w:p>
          <w:p>
            <w:pPr>
              <w:pStyle w:val="2"/>
              <w:spacing w:before="0" w:after="0" w:afterAutospacing="0" w:line="360" w:lineRule="auto"/>
              <w:ind w:left="0" w:right="0" w:firstLine="472" w:firstLineChars="200"/>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2019</w:t>
            </w:r>
            <w:r>
              <w:rPr>
                <w:rFonts w:ascii="宋体" w:eastAsia="宋体" w:cs="Times New Roman"/>
                <w:color w:val="auto"/>
                <w:sz w:val="24"/>
                <w:szCs w:val="24"/>
              </w:rPr>
              <w:t>年</w:t>
            </w:r>
            <w:r>
              <w:rPr>
                <w:rFonts w:ascii="Times New Roman" w:hAnsi="Times New Roman" w:eastAsia="宋体" w:cs="Times New Roman"/>
                <w:color w:val="auto"/>
                <w:sz w:val="24"/>
                <w:szCs w:val="24"/>
              </w:rPr>
              <w:t>-2030</w:t>
            </w:r>
            <w:r>
              <w:rPr>
                <w:rFonts w:ascii="宋体" w:eastAsia="宋体" w:cs="Times New Roman"/>
                <w:color w:val="auto"/>
                <w:sz w:val="24"/>
                <w:szCs w:val="24"/>
              </w:rPr>
              <w:t>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近期到2025年，远期到2030年。</w:t>
            </w:r>
          </w:p>
          <w:p>
            <w:pPr>
              <w:pStyle w:val="2"/>
              <w:spacing w:before="0" w:after="0" w:afterAutospacing="0" w:line="360" w:lineRule="auto"/>
              <w:ind w:left="0" w:right="0" w:firstLine="474" w:firstLineChars="200"/>
              <w:rPr>
                <w:rFonts w:ascii="Times New Roman" w:hAnsi="Times New Roman" w:eastAsia="宋体" w:cs="Times New Roman"/>
                <w:b/>
                <w:bCs/>
                <w:color w:val="auto"/>
                <w:sz w:val="24"/>
                <w:szCs w:val="24"/>
              </w:rPr>
            </w:pPr>
            <w:r>
              <w:rPr>
                <w:rFonts w:ascii="宋体" w:eastAsia="宋体" w:cs="Times New Roman"/>
                <w:b/>
                <w:bCs/>
                <w:color w:val="auto"/>
                <w:sz w:val="24"/>
                <w:szCs w:val="24"/>
              </w:rPr>
              <w:t>三</w:t>
            </w:r>
            <w:r>
              <w:rPr>
                <w:rFonts w:hint="eastAsia" w:ascii="宋体" w:eastAsia="宋体" w:cs="Times New Roman"/>
                <w:b/>
                <w:bCs/>
                <w:color w:val="auto"/>
                <w:sz w:val="24"/>
                <w:szCs w:val="24"/>
                <w:lang w:eastAsia="zh-CN"/>
              </w:rPr>
              <w:t>、</w:t>
            </w:r>
            <w:r>
              <w:rPr>
                <w:rFonts w:ascii="宋体" w:eastAsia="宋体" w:cs="Times New Roman"/>
                <w:b/>
                <w:bCs/>
                <w:color w:val="auto"/>
                <w:sz w:val="24"/>
                <w:szCs w:val="24"/>
              </w:rPr>
              <w:t>产业定位</w:t>
            </w:r>
          </w:p>
          <w:p>
            <w:pPr>
              <w:pStyle w:val="2"/>
              <w:spacing w:before="0" w:after="0" w:afterAutospacing="0" w:line="360" w:lineRule="auto"/>
              <w:ind w:left="0" w:right="0" w:firstLine="472" w:firstLineChars="200"/>
              <w:rPr>
                <w:rFonts w:ascii="Times New Roman" w:hAnsi="Times New Roman" w:eastAsia="宋体" w:cs="Times New Roman"/>
                <w:bCs/>
                <w:color w:val="auto"/>
                <w:sz w:val="24"/>
                <w:szCs w:val="24"/>
              </w:rPr>
            </w:pPr>
            <w:r>
              <w:rPr>
                <w:rFonts w:hint="eastAsia" w:ascii="宋体" w:eastAsia="宋体" w:cs="Times New Roman"/>
                <w:bCs/>
                <w:color w:val="auto"/>
                <w:sz w:val="24"/>
                <w:szCs w:val="24"/>
              </w:rPr>
              <w:t>重点发展先进装备制造产业，有序发展新材料（新型建材）产业，兼顾发展 2 个产业（特色轻工产业、医药健康产业）。其中，孝姑组团：主要发展高端装备制造，有序发展新型建材，兼顾发展竹浆纸特色轻工和医药健康产业；新民组团：发展竹浆纸特色轻工产业；石马坝组团：保留现有盐化工产业，不再扩大发展；机场坝组团：保留现有竹浆纸轻工产业和机械加工产业</w:t>
            </w:r>
            <w:r>
              <w:rPr>
                <w:rFonts w:ascii="宋体" w:eastAsia="宋体" w:cs="Times New Roman"/>
                <w:bCs/>
                <w:color w:val="auto"/>
                <w:sz w:val="24"/>
                <w:szCs w:val="24"/>
              </w:rPr>
              <w:t>。</w:t>
            </w:r>
          </w:p>
          <w:p>
            <w:pPr>
              <w:autoSpaceDE w:val="0"/>
              <w:autoSpaceDN w:val="0"/>
              <w:adjustRightInd w:val="0"/>
              <w:snapToGrid w:val="0"/>
              <w:spacing w:line="360" w:lineRule="auto"/>
              <w:ind w:firstLine="482" w:firstLineChars="200"/>
              <w:rPr>
                <w:rFonts w:hint="default" w:eastAsia="宋体"/>
                <w:b/>
                <w:bCs/>
                <w:color w:val="auto"/>
                <w:sz w:val="24"/>
                <w:szCs w:val="24"/>
                <w:lang w:val="en-US" w:eastAsia="zh-CN"/>
              </w:rPr>
            </w:pPr>
            <w:r>
              <w:rPr>
                <w:rFonts w:hint="eastAsia"/>
                <w:b/>
                <w:bCs/>
                <w:color w:val="auto"/>
                <w:sz w:val="24"/>
                <w:szCs w:val="24"/>
                <w:lang w:val="en-US" w:eastAsia="zh-CN"/>
              </w:rPr>
              <w:t>四、川环建函[2020]28号环境准入清单</w:t>
            </w:r>
          </w:p>
          <w:p>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（一）禁止引入不符合产业政策、行业准入条件和与园区规划产业不相容的项目。</w:t>
            </w:r>
          </w:p>
          <w:p>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（二）禁止引入清洁生产水平达不到行业二级标准或低于全国同类企业平均清洁生产水平的项目。</w:t>
            </w:r>
          </w:p>
          <w:p>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（三）各组团具体要求</w:t>
            </w:r>
          </w:p>
          <w:p>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（1）孝姑组团</w:t>
            </w:r>
          </w:p>
          <w:p>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先进装备产业：禁止引入冶炼类项目和专业电镀项目；轻工产业：禁止引入印染、制革项目；新材料产业：除退城入园企业外，禁止新引入化工新材料、冶金新材料项目；医药健康产业：禁止引进化学合成原料药和发酵原料药项目。</w:t>
            </w:r>
          </w:p>
          <w:p>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（2）新民组团</w:t>
            </w:r>
          </w:p>
          <w:p>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轻工产业：禁止引入造纸、印染、制革项目；建材产业：除产能置换项目外，禁止引入水泥、平板玻璃项目。</w:t>
            </w:r>
          </w:p>
          <w:p>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（3）石马坝组团</w:t>
            </w:r>
          </w:p>
          <w:p>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禁止新引入排放废水的项目。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rPr>
                <w:color w:val="auto"/>
                <w:sz w:val="24"/>
                <w:szCs w:val="24"/>
              </w:rPr>
            </w:pPr>
            <w:r>
              <w:rPr>
                <w:rFonts w:hint="eastAsia"/>
                <w:color w:val="auto"/>
                <w:sz w:val="24"/>
                <w:szCs w:val="24"/>
              </w:rPr>
              <w:t>（4）机场坝组团</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禁止新引入工业生产企业。</w:t>
            </w:r>
          </w:p>
          <w:p>
            <w:pPr>
              <w:pStyle w:val="2"/>
              <w:keepNext w:val="0"/>
              <w:keepLines w:val="0"/>
              <w:pageBreakBefore w:val="0"/>
              <w:widowControl w:val="0"/>
              <w:kinsoku/>
              <w:wordWrap/>
              <w:overflowPunct/>
              <w:topLinePunct w:val="0"/>
              <w:bidi w:val="0"/>
              <w:spacing w:before="0" w:after="0" w:afterAutospacing="0" w:line="360" w:lineRule="auto"/>
              <w:ind w:left="0" w:right="0" w:firstLine="474"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五</w:t>
            </w:r>
            <w:r>
              <w:rPr>
                <w:rFonts w:hint="eastAsia" w:ascii="Times New Roman" w:hAnsi="Times New Roman" w:eastAsia="宋体" w:cs="Times New Roman"/>
                <w:b/>
                <w:bCs/>
                <w:color w:val="auto"/>
                <w:sz w:val="24"/>
                <w:szCs w:val="24"/>
                <w:lang w:val="en-US" w:eastAsia="zh-CN"/>
              </w:rPr>
              <w:t>、川环建函[2020]28号</w:t>
            </w:r>
            <w:r>
              <w:rPr>
                <w:rFonts w:hint="default" w:ascii="Times New Roman" w:hAnsi="Times New Roman" w:eastAsia="宋体" w:cs="Times New Roman"/>
                <w:b/>
                <w:bCs/>
                <w:color w:val="auto"/>
                <w:sz w:val="24"/>
                <w:szCs w:val="24"/>
                <w:lang w:val="en-US" w:eastAsia="zh-CN"/>
              </w:rPr>
              <w:t>符合性分析</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本项目位于乐山</w:t>
            </w:r>
            <w:r>
              <w:rPr>
                <w:rFonts w:hint="default" w:ascii="Times New Roman" w:hAnsi="Times New Roman" w:eastAsia="宋体" w:cs="Times New Roman"/>
                <w:color w:val="auto"/>
                <w:sz w:val="24"/>
                <w:szCs w:val="24"/>
                <w:highlight w:val="none"/>
              </w:rPr>
              <w:t>市犍为县舞雩镇石马坝工业园区内，石马坝工业园区属于犍为新型工业基地中的过渡保留区石马坝组团，根据《新建年产3万吨再生颗粒制品项目》入驻证明，原犍为县工业集中区管理委员会同意乐山图南再生资源有限公司（原乐山思恒塑业有限责任公司）入驻，符合园区规划。</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default" w:ascii="Times New Roman" w:hAnsi="Times New Roman" w:eastAsia="宋体" w:cs="Times New Roman"/>
                <w:color w:val="auto"/>
                <w:sz w:val="24"/>
                <w:szCs w:val="24"/>
                <w:highlight w:val="yellow"/>
                <w:u w:val="none"/>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u w:val="none"/>
              </w:rPr>
              <w:t>本项目为废旧塑料加工生产线技改项目，不属于上述鼓励、禁止行业类型，选址与周围环境相容，属于允许入园行</w:t>
            </w:r>
            <w:r>
              <w:rPr>
                <w:rFonts w:hint="default" w:ascii="Times New Roman" w:hAnsi="Times New Roman" w:eastAsia="宋体" w:cs="Times New Roman"/>
                <w:color w:val="auto"/>
                <w:sz w:val="24"/>
                <w:szCs w:val="24"/>
                <w:highlight w:val="none"/>
                <w:u w:val="none"/>
              </w:rPr>
              <w:t>业。</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项目采用国内先进水平的生产工艺、设备，采用有效的污染治理技术，</w:t>
            </w:r>
            <w:r>
              <w:rPr>
                <w:rFonts w:hint="eastAsia" w:ascii="Times New Roman" w:hAnsi="Times New Roman" w:eastAsia="宋体" w:cs="Times New Roman"/>
                <w:color w:val="auto"/>
                <w:sz w:val="24"/>
                <w:szCs w:val="24"/>
                <w:highlight w:val="none"/>
                <w:u w:val="none"/>
                <w:lang w:val="en-US" w:eastAsia="zh-CN"/>
              </w:rPr>
              <w:t>根据《</w:t>
            </w:r>
            <w:r>
              <w:rPr>
                <w:rFonts w:hint="default" w:ascii="Times New Roman" w:hAnsi="Times New Roman" w:eastAsia="宋体" w:cs="Times New Roman"/>
                <w:color w:val="auto"/>
                <w:sz w:val="24"/>
                <w:szCs w:val="24"/>
                <w:highlight w:val="none"/>
                <w:u w:val="none"/>
              </w:rPr>
              <w:t>清洁生产评价指标体系编制通则</w:t>
            </w:r>
            <w:r>
              <w:rPr>
                <w:rFonts w:hint="eastAsia" w:ascii="Times New Roman" w:hAnsi="Times New Roman" w:eastAsia="宋体" w:cs="Times New Roman"/>
                <w:color w:val="auto"/>
                <w:sz w:val="24"/>
                <w:szCs w:val="24"/>
                <w:highlight w:val="none"/>
                <w:u w:val="none"/>
                <w:lang w:val="en-US" w:eastAsia="zh-CN"/>
              </w:rPr>
              <w:t>》，企业</w:t>
            </w:r>
            <w:r>
              <w:rPr>
                <w:rFonts w:hint="default" w:ascii="Times New Roman" w:hAnsi="Times New Roman" w:eastAsia="宋体" w:cs="Times New Roman"/>
                <w:color w:val="auto"/>
                <w:sz w:val="24"/>
                <w:szCs w:val="24"/>
                <w:highlight w:val="none"/>
                <w:u w:val="none"/>
              </w:rPr>
              <w:t>能耗、物耗均能达到同行业清洁生产二级水平。</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企业已于2016年11月入驻园区，不属于园区新引入企业。项目</w:t>
            </w:r>
            <w:r>
              <w:rPr>
                <w:rFonts w:hint="default" w:ascii="Times New Roman" w:hAnsi="Times New Roman" w:eastAsia="宋体" w:cs="Times New Roman"/>
                <w:color w:val="auto"/>
                <w:sz w:val="24"/>
                <w:szCs w:val="24"/>
              </w:rPr>
              <w:t>生产废水</w:t>
            </w:r>
            <w:r>
              <w:rPr>
                <w:rFonts w:hint="default" w:ascii="Times New Roman" w:hAnsi="Times New Roman" w:eastAsia="宋体" w:cs="Times New Roman"/>
                <w:bCs/>
                <w:color w:val="auto"/>
                <w:sz w:val="24"/>
                <w:szCs w:val="24"/>
              </w:rPr>
              <w:t>经自建污水处理站处理后循环回用</w:t>
            </w:r>
            <w:r>
              <w:rPr>
                <w:rFonts w:hint="eastAsia"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rPr>
              <w:t>冷却水循环使用不外排</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lang w:eastAsia="zh-CN"/>
              </w:rPr>
              <w:t>生活污水经厂内预处理池处理后</w:t>
            </w:r>
            <w:r>
              <w:rPr>
                <w:rFonts w:hint="default" w:ascii="Times New Roman" w:hAnsi="Times New Roman" w:eastAsia="宋体" w:cs="Times New Roman"/>
                <w:bCs/>
                <w:color w:val="auto"/>
                <w:sz w:val="24"/>
                <w:szCs w:val="24"/>
              </w:rPr>
              <w:t>排入市政污水管网，最终进入犍为县污水处理厂处理后达标排放</w:t>
            </w:r>
            <w:r>
              <w:rPr>
                <w:rFonts w:hint="default" w:ascii="Times New Roman" w:hAnsi="Times New Roman" w:eastAsia="宋体" w:cs="Times New Roman"/>
                <w:bCs/>
                <w:color w:val="auto"/>
                <w:sz w:val="24"/>
                <w:szCs w:val="24"/>
                <w:lang w:eastAsia="zh-CN"/>
              </w:rPr>
              <w:t>。</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ascii="Times New Roman" w:hAnsi="Times New Roman" w:eastAsia="宋体" w:cs="Times New Roman"/>
                <w:color w:val="auto"/>
                <w:sz w:val="24"/>
                <w:szCs w:val="24"/>
                <w:u w:val="none"/>
              </w:rPr>
            </w:pPr>
            <w:r>
              <w:rPr>
                <w:rFonts w:hint="eastAsia" w:ascii="宋体" w:eastAsia="宋体" w:cs="Times New Roman"/>
                <w:color w:val="auto"/>
                <w:sz w:val="24"/>
                <w:szCs w:val="24"/>
                <w:u w:val="none"/>
                <w:lang w:eastAsia="zh-CN"/>
              </w:rPr>
              <w:t>（</w:t>
            </w:r>
            <w:r>
              <w:rPr>
                <w:rFonts w:hint="eastAsia" w:ascii="宋体" w:eastAsia="宋体" w:cs="Times New Roman"/>
                <w:color w:val="auto"/>
                <w:sz w:val="24"/>
                <w:szCs w:val="24"/>
                <w:u w:val="none"/>
                <w:lang w:val="en-US" w:eastAsia="zh-CN"/>
              </w:rPr>
              <w:t>5</w:t>
            </w:r>
            <w:r>
              <w:rPr>
                <w:rFonts w:hint="eastAsia" w:ascii="宋体" w:eastAsia="宋体" w:cs="Times New Roman"/>
                <w:color w:val="auto"/>
                <w:sz w:val="24"/>
                <w:szCs w:val="24"/>
                <w:u w:val="none"/>
                <w:lang w:eastAsia="zh-CN"/>
              </w:rPr>
              <w:t>）</w:t>
            </w:r>
            <w:r>
              <w:rPr>
                <w:rFonts w:ascii="宋体" w:eastAsia="宋体" w:cs="Times New Roman"/>
                <w:color w:val="auto"/>
                <w:sz w:val="24"/>
                <w:szCs w:val="24"/>
                <w:u w:val="none"/>
              </w:rPr>
              <w:t>本项目</w:t>
            </w:r>
            <w:r>
              <w:rPr>
                <w:rFonts w:hint="eastAsia" w:ascii="宋体" w:eastAsia="宋体" w:cs="Times New Roman"/>
                <w:color w:val="auto"/>
                <w:sz w:val="24"/>
                <w:szCs w:val="24"/>
                <w:u w:val="none"/>
                <w:lang w:val="en-US" w:eastAsia="zh-CN"/>
              </w:rPr>
              <w:t>利用</w:t>
            </w:r>
            <w:r>
              <w:rPr>
                <w:rFonts w:ascii="宋体" w:eastAsia="宋体" w:cs="Times New Roman"/>
                <w:color w:val="auto"/>
                <w:sz w:val="24"/>
                <w:szCs w:val="24"/>
                <w:u w:val="none"/>
              </w:rPr>
              <w:t>现有车间</w:t>
            </w:r>
            <w:r>
              <w:rPr>
                <w:rFonts w:hint="eastAsia" w:ascii="宋体" w:eastAsia="宋体" w:cs="Times New Roman"/>
                <w:color w:val="auto"/>
                <w:sz w:val="24"/>
                <w:szCs w:val="24"/>
                <w:u w:val="none"/>
                <w:lang w:val="en-US" w:eastAsia="zh-CN"/>
              </w:rPr>
              <w:t>空余废旧塑料</w:t>
            </w:r>
            <w:r>
              <w:rPr>
                <w:rFonts w:hint="eastAsia" w:ascii="宋体" w:eastAsia="宋体"/>
                <w:color w:val="auto"/>
                <w:sz w:val="24"/>
                <w:szCs w:val="24"/>
                <w:u w:val="none"/>
                <w:lang w:val="en-US" w:eastAsia="zh-CN"/>
              </w:rPr>
              <w:t>堆放</w:t>
            </w:r>
            <w:r>
              <w:rPr>
                <w:rFonts w:hint="eastAsia" w:ascii="宋体" w:eastAsia="宋体"/>
                <w:color w:val="auto"/>
                <w:sz w:val="24"/>
                <w:szCs w:val="24"/>
                <w:u w:val="none"/>
              </w:rPr>
              <w:t>区域</w:t>
            </w:r>
            <w:r>
              <w:rPr>
                <w:rFonts w:hint="eastAsia" w:ascii="宋体" w:eastAsia="宋体"/>
                <w:color w:val="auto"/>
                <w:sz w:val="24"/>
                <w:szCs w:val="24"/>
                <w:u w:val="none"/>
                <w:lang w:val="en-US" w:eastAsia="zh-CN"/>
              </w:rPr>
              <w:t>进行技改</w:t>
            </w:r>
            <w:r>
              <w:rPr>
                <w:rFonts w:ascii="宋体" w:eastAsia="宋体" w:cs="Times New Roman"/>
                <w:color w:val="auto"/>
                <w:sz w:val="24"/>
                <w:szCs w:val="24"/>
                <w:u w:val="none"/>
              </w:rPr>
              <w:t>，不新增用地。</w:t>
            </w:r>
          </w:p>
          <w:p>
            <w:pPr>
              <w:keepNext w:val="0"/>
              <w:keepLines w:val="0"/>
              <w:pageBreakBefore w:val="0"/>
              <w:widowControl w:val="0"/>
              <w:kinsoku/>
              <w:wordWrap/>
              <w:overflowPunct/>
              <w:topLinePunct w:val="0"/>
              <w:bidi w:val="0"/>
              <w:spacing w:line="360" w:lineRule="auto"/>
              <w:ind w:firstLine="480" w:firstLineChars="200"/>
              <w:rPr>
                <w:rFonts w:hint="eastAsia" w:ascii="Times New Roman" w:hAnsi="Times New Roman" w:eastAsia="宋体" w:cs="Times New Roman"/>
                <w:b/>
                <w:bCs/>
                <w:color w:val="auto"/>
                <w:sz w:val="24"/>
                <w:szCs w:val="24"/>
                <w:lang w:val="en-US" w:eastAsia="zh-CN"/>
              </w:rPr>
            </w:pPr>
            <w:r>
              <w:rPr>
                <w:rFonts w:hint="eastAsia" w:ascii="宋体" w:hAnsi="宋体"/>
                <w:color w:val="auto"/>
                <w:sz w:val="24"/>
                <w:szCs w:val="24"/>
                <w:lang w:val="en-US" w:eastAsia="zh-CN"/>
              </w:rPr>
              <w:t>六、</w:t>
            </w:r>
            <w:r>
              <w:rPr>
                <w:rFonts w:hint="default" w:ascii="Times New Roman" w:hAnsi="Times New Roman" w:eastAsia="宋体" w:cs="Times New Roman"/>
                <w:b/>
                <w:bCs/>
                <w:color w:val="auto"/>
                <w:sz w:val="24"/>
                <w:szCs w:val="24"/>
                <w:lang w:val="en-US" w:eastAsia="zh-CN"/>
              </w:rPr>
              <w:t>川环建函[2019]60号</w:t>
            </w:r>
            <w:r>
              <w:rPr>
                <w:rFonts w:hint="eastAsia" w:ascii="Times New Roman" w:hAnsi="Times New Roman" w:eastAsia="宋体" w:cs="Times New Roman"/>
                <w:b/>
                <w:bCs/>
                <w:color w:val="auto"/>
                <w:sz w:val="24"/>
                <w:szCs w:val="24"/>
                <w:lang w:val="en-US" w:eastAsia="zh-CN"/>
              </w:rPr>
              <w:t>要求</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eastAsia" w:ascii="宋体" w:eastAsia="宋体" w:cs="Times New Roman"/>
                <w:color w:val="auto"/>
                <w:sz w:val="24"/>
                <w:szCs w:val="24"/>
                <w:u w:val="none"/>
                <w:lang w:val="en-US" w:eastAsia="zh-CN"/>
              </w:rPr>
            </w:pPr>
            <w:r>
              <w:rPr>
                <w:rFonts w:hint="eastAsia" w:ascii="宋体" w:eastAsia="宋体" w:cs="Times New Roman"/>
                <w:color w:val="auto"/>
                <w:sz w:val="24"/>
                <w:szCs w:val="24"/>
                <w:u w:val="none"/>
                <w:lang w:val="en-US" w:eastAsia="zh-CN"/>
              </w:rPr>
              <w:t>（1）认真落实《长江经济带发展负面清单指南（试行）》《长江保护修复攻坚战行动计划》及《四川省长江经济带发展负面清单实施细则》等有关文件要求，园区距长江干支流岸线边界1公里范围内禁止新建、扩建化工项目，已经实施关停的化工企业不得复产。</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eastAsia" w:ascii="宋体" w:eastAsia="宋体" w:cs="Times New Roman"/>
                <w:color w:val="auto"/>
                <w:sz w:val="24"/>
                <w:szCs w:val="24"/>
                <w:u w:val="none"/>
                <w:lang w:val="en-US" w:eastAsia="zh-CN"/>
              </w:rPr>
            </w:pPr>
            <w:r>
              <w:rPr>
                <w:rFonts w:hint="eastAsia" w:ascii="宋体" w:eastAsia="宋体" w:cs="Times New Roman"/>
                <w:color w:val="auto"/>
                <w:sz w:val="24"/>
                <w:szCs w:val="24"/>
                <w:u w:val="none"/>
                <w:lang w:val="en-US" w:eastAsia="zh-CN"/>
              </w:rPr>
              <w:t>（2）认真落实《报告书》提出的各项要求，加强园区内现有用煤生产企业大气污染治理管控，确保其脱硫、脱硝和除尘等设施正常稳定运行，大气污染物稳定达标排放。除集中供热以外的新入驻企业，应优先考虑使用电、天然气等清洁能源。积极推进园区现有企业进行清洁生产升级改造，提高产业绿色发展水平。</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eastAsia" w:ascii="宋体" w:eastAsia="宋体" w:cs="Times New Roman"/>
                <w:color w:val="auto"/>
                <w:sz w:val="24"/>
                <w:szCs w:val="24"/>
                <w:u w:val="none"/>
                <w:lang w:val="en-US" w:eastAsia="zh-CN"/>
              </w:rPr>
            </w:pPr>
            <w:r>
              <w:rPr>
                <w:rFonts w:hint="eastAsia" w:ascii="宋体" w:eastAsia="宋体" w:cs="Times New Roman"/>
                <w:color w:val="auto"/>
                <w:sz w:val="24"/>
                <w:szCs w:val="24"/>
                <w:u w:val="none"/>
                <w:lang w:val="en-US" w:eastAsia="zh-CN"/>
              </w:rPr>
              <w:t>（3）妥善做好卫生防护距离内住户搬迁等工作，加强对集中居住区等环境敏感目标的保护，强化"三线一单"成果运用，严格环境准入。强化企业污染物无组织排放控制措施，降低污染物对区域的环境影响。</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eastAsia" w:ascii="宋体" w:eastAsia="宋体" w:cs="Times New Roman"/>
                <w:color w:val="auto"/>
                <w:sz w:val="24"/>
                <w:szCs w:val="24"/>
                <w:u w:val="none"/>
                <w:lang w:val="en-US" w:eastAsia="zh-CN"/>
              </w:rPr>
            </w:pPr>
            <w:r>
              <w:rPr>
                <w:rFonts w:hint="eastAsia" w:ascii="宋体" w:eastAsia="宋体" w:cs="Times New Roman"/>
                <w:color w:val="auto"/>
                <w:sz w:val="24"/>
                <w:szCs w:val="24"/>
                <w:u w:val="none"/>
                <w:lang w:val="en-US" w:eastAsia="zh-CN"/>
              </w:rPr>
              <w:t>（4）进一步加强区域河流污染整治工作，确保水生态环境质量持续稳定改善。根据各产业园区排水量和排水去向实际情况，调整园区污水处理厂处理规模，提高园区污水收集和处理率。加快园区污水管网和污水处理厂提标改造工作，确保各产业园区污水处理满足《四川省岷江、沱江流域水污染物排放标准》（DB51/2311-2016）要求。</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eastAsia" w:ascii="宋体" w:eastAsia="宋体" w:cs="Times New Roman"/>
                <w:color w:val="auto"/>
                <w:sz w:val="24"/>
                <w:szCs w:val="24"/>
                <w:u w:val="none"/>
                <w:lang w:val="en-US" w:eastAsia="zh-CN"/>
              </w:rPr>
            </w:pPr>
            <w:r>
              <w:rPr>
                <w:rFonts w:hint="eastAsia" w:ascii="宋体" w:eastAsia="宋体" w:cs="Times New Roman"/>
                <w:color w:val="auto"/>
                <w:sz w:val="24"/>
                <w:szCs w:val="24"/>
                <w:u w:val="none"/>
                <w:lang w:val="en-US" w:eastAsia="zh-CN"/>
              </w:rPr>
              <w:t>按照《四川省人民政府办公厅关于进一步规范电镀行业发展的意见》（川办发〔2018〕83号）有关要求，园区现有2家工序电镀企业生产废水应采取分类收集分质处理的原则，对含五类重金属污水处理设施进行升级改造，确保含五类重金属废水实现零排放。</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eastAsia" w:ascii="宋体" w:eastAsia="宋体" w:cs="Times New Roman"/>
                <w:color w:val="auto"/>
                <w:sz w:val="24"/>
                <w:szCs w:val="24"/>
                <w:u w:val="none"/>
                <w:lang w:val="en-US" w:eastAsia="zh-CN"/>
              </w:rPr>
            </w:pPr>
            <w:r>
              <w:rPr>
                <w:rFonts w:hint="eastAsia" w:ascii="宋体" w:eastAsia="宋体" w:cs="Times New Roman"/>
                <w:color w:val="auto"/>
                <w:sz w:val="24"/>
                <w:szCs w:val="24"/>
                <w:u w:val="none"/>
                <w:lang w:val="en-US" w:eastAsia="zh-CN"/>
              </w:rPr>
              <w:t>（5）按照《报告书》要求，完善各产业园区环境监测体系。根据各产业园区、产业布局、企业分布、特征污染物排放、环境敏感目标分布等，落实并优化环境监测计划及环保管理要求。</w:t>
            </w:r>
          </w:p>
          <w:p>
            <w:pPr>
              <w:pStyle w:val="2"/>
              <w:keepNext w:val="0"/>
              <w:keepLines w:val="0"/>
              <w:pageBreakBefore w:val="0"/>
              <w:widowControl w:val="0"/>
              <w:kinsoku/>
              <w:wordWrap/>
              <w:overflowPunct/>
              <w:topLinePunct w:val="0"/>
              <w:bidi w:val="0"/>
              <w:spacing w:before="0" w:after="0" w:afterAutospacing="0" w:line="360" w:lineRule="auto"/>
              <w:ind w:left="0" w:right="0" w:firstLine="472" w:firstLineChars="200"/>
              <w:rPr>
                <w:rFonts w:hint="eastAsia" w:ascii="宋体" w:eastAsia="宋体" w:cs="Times New Roman"/>
                <w:color w:val="auto"/>
                <w:sz w:val="24"/>
                <w:szCs w:val="24"/>
                <w:u w:val="none"/>
                <w:lang w:val="en-US" w:eastAsia="zh-CN"/>
              </w:rPr>
            </w:pPr>
            <w:r>
              <w:rPr>
                <w:rFonts w:hint="eastAsia" w:ascii="宋体" w:eastAsia="宋体" w:cs="Times New Roman"/>
                <w:color w:val="auto"/>
                <w:sz w:val="24"/>
                <w:szCs w:val="24"/>
                <w:u w:val="none"/>
                <w:lang w:val="en-US" w:eastAsia="zh-CN"/>
              </w:rPr>
              <w:t>（6）进一步梳理排查现有企业存在的环境风险问题，并按相关要求整改。强化园区环境风险管理，健全园区环境风险三级防范体系，完善园区环境风险应急预案。提高危险废物及危险化学品的环境风险防范能力，对其处置、运输和转移等过程按规定实施全面监管;加强环境预警与应急响应能力建设，提升环境风险管理能力，确保环境安全。</w:t>
            </w:r>
          </w:p>
          <w:p>
            <w:pPr>
              <w:pStyle w:val="2"/>
              <w:keepNext w:val="0"/>
              <w:keepLines w:val="0"/>
              <w:pageBreakBefore w:val="0"/>
              <w:widowControl w:val="0"/>
              <w:kinsoku/>
              <w:wordWrap/>
              <w:overflowPunct/>
              <w:topLinePunct w:val="0"/>
              <w:autoSpaceDE/>
              <w:autoSpaceDN/>
              <w:bidi w:val="0"/>
              <w:adjustRightInd w:val="0"/>
              <w:snapToGrid/>
              <w:spacing w:before="0" w:after="0" w:afterAutospacing="0" w:line="360" w:lineRule="auto"/>
              <w:ind w:left="0" w:right="0" w:firstLine="474" w:firstLineChars="200"/>
              <w:textAlignment w:val="baseline"/>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七、</w:t>
            </w:r>
            <w:r>
              <w:rPr>
                <w:rFonts w:hint="default" w:ascii="Times New Roman" w:hAnsi="Times New Roman" w:eastAsia="宋体" w:cs="Times New Roman"/>
                <w:b/>
                <w:bCs/>
                <w:color w:val="auto"/>
                <w:sz w:val="24"/>
                <w:szCs w:val="24"/>
                <w:lang w:val="en-US" w:eastAsia="zh-CN"/>
              </w:rPr>
              <w:t>川环建函[2019]60号</w:t>
            </w:r>
            <w:r>
              <w:rPr>
                <w:rFonts w:hint="eastAsia" w:ascii="Times New Roman" w:hAnsi="Times New Roman" w:eastAsia="宋体" w:cs="Times New Roman"/>
                <w:b/>
                <w:bCs/>
                <w:color w:val="auto"/>
                <w:sz w:val="24"/>
                <w:szCs w:val="24"/>
                <w:lang w:val="en-US" w:eastAsia="zh-CN"/>
              </w:rPr>
              <w:t>符合性分析</w:t>
            </w:r>
          </w:p>
          <w:p>
            <w:pPr>
              <w:keepNext w:val="0"/>
              <w:keepLines w:val="0"/>
              <w:pageBreakBefore w:val="0"/>
              <w:widowControl w:val="0"/>
              <w:kinsoku/>
              <w:wordWrap/>
              <w:overflowPunct/>
              <w:topLinePunct w:val="0"/>
              <w:autoSpaceDE/>
              <w:autoSpaceDN/>
              <w:bidi w:val="0"/>
              <w:snapToGrid/>
              <w:spacing w:afterAutospacing="0" w:line="360" w:lineRule="auto"/>
              <w:ind w:left="0" w:right="0"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本项目为技改项目，不属于新建、扩建，且符合</w:t>
            </w:r>
            <w:r>
              <w:rPr>
                <w:rFonts w:hint="default" w:ascii="Times New Roman" w:hAnsi="Times New Roman" w:eastAsia="宋体" w:cs="Times New Roman"/>
                <w:color w:val="auto"/>
                <w:sz w:val="24"/>
                <w:szCs w:val="24"/>
                <w:u w:val="none"/>
                <w:lang w:val="en-US" w:eastAsia="zh-CN"/>
              </w:rPr>
              <w:t>《长江经济带发展负面清单指南（试行）》《长江保护修复攻坚战行动计划》及《四川省长江经济带发展负面清单实施细则》等有关文件要求。</w:t>
            </w:r>
          </w:p>
          <w:p>
            <w:pPr>
              <w:pStyle w:val="2"/>
              <w:keepNext w:val="0"/>
              <w:keepLines w:val="0"/>
              <w:pageBreakBefore w:val="0"/>
              <w:widowControl w:val="0"/>
              <w:kinsoku/>
              <w:wordWrap/>
              <w:overflowPunct/>
              <w:topLinePunct w:val="0"/>
              <w:autoSpaceDE/>
              <w:autoSpaceDN/>
              <w:bidi w:val="0"/>
              <w:snapToGrid/>
              <w:spacing w:before="0" w:after="0" w:afterAutospacing="0" w:line="360" w:lineRule="auto"/>
              <w:ind w:left="0" w:right="0" w:firstLine="472"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（2）企业使用能源为电和天然气，不涉及燃煤。</w:t>
            </w:r>
          </w:p>
          <w:p>
            <w:pPr>
              <w:pStyle w:val="2"/>
              <w:keepNext w:val="0"/>
              <w:keepLines w:val="0"/>
              <w:pageBreakBefore w:val="0"/>
              <w:widowControl w:val="0"/>
              <w:kinsoku/>
              <w:wordWrap/>
              <w:overflowPunct/>
              <w:topLinePunct w:val="0"/>
              <w:autoSpaceDE/>
              <w:autoSpaceDN/>
              <w:bidi w:val="0"/>
              <w:snapToGrid/>
              <w:spacing w:before="0" w:after="0" w:afterAutospacing="0" w:line="360" w:lineRule="auto"/>
              <w:ind w:left="0" w:right="0" w:firstLine="472"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3）企业卫生防护距离内无居民，严格按照《挥发性有机物无组织排放控制标准》（GB37822-2019）污染控制要求对项目的物料、转运以及生产过程实施全过程控制，最大程度降低挥发性有机物的无组织排放，有机废气经收集后分别进入相应废气处理装置进行处理后达标排放，挥发性有机物的排放得到有效控制。</w:t>
            </w:r>
          </w:p>
          <w:p>
            <w:pPr>
              <w:pStyle w:val="2"/>
              <w:keepNext w:val="0"/>
              <w:keepLines w:val="0"/>
              <w:pageBreakBefore w:val="0"/>
              <w:widowControl w:val="0"/>
              <w:kinsoku/>
              <w:wordWrap/>
              <w:overflowPunct/>
              <w:topLinePunct w:val="0"/>
              <w:autoSpaceDE/>
              <w:autoSpaceDN/>
              <w:bidi w:val="0"/>
              <w:snapToGrid/>
              <w:spacing w:before="0" w:after="0" w:afterAutospacing="0" w:line="360" w:lineRule="auto"/>
              <w:ind w:left="0" w:right="0" w:firstLine="472"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（4）本项目不属于电镀行业，项目生产废水经自建污水处理站处理后循环回用；冷却水循环使用不外排；生活污水经厂内预处理池处理后排入市政污水管网，最终进入犍为县污水处理厂处理后达标排放。</w:t>
            </w:r>
          </w:p>
          <w:p>
            <w:pPr>
              <w:pStyle w:val="2"/>
              <w:keepNext w:val="0"/>
              <w:keepLines w:val="0"/>
              <w:pageBreakBefore w:val="0"/>
              <w:widowControl w:val="0"/>
              <w:kinsoku/>
              <w:wordWrap/>
              <w:overflowPunct/>
              <w:topLinePunct w:val="0"/>
              <w:autoSpaceDE/>
              <w:autoSpaceDN/>
              <w:bidi w:val="0"/>
              <w:snapToGrid/>
              <w:spacing w:before="0" w:after="0" w:afterAutospacing="0" w:line="360" w:lineRule="auto"/>
              <w:ind w:left="0" w:right="0" w:firstLine="472"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（5）本项目已有环境监测计划，并将进一步加强环境管理水平。</w:t>
            </w:r>
          </w:p>
          <w:p>
            <w:pPr>
              <w:pStyle w:val="2"/>
              <w:keepNext w:val="0"/>
              <w:keepLines w:val="0"/>
              <w:pageBreakBefore w:val="0"/>
              <w:widowControl w:val="0"/>
              <w:kinsoku/>
              <w:wordWrap/>
              <w:overflowPunct/>
              <w:topLinePunct w:val="0"/>
              <w:autoSpaceDE/>
              <w:autoSpaceDN/>
              <w:bidi w:val="0"/>
              <w:snapToGrid/>
              <w:spacing w:before="0" w:after="0" w:afterAutospacing="0" w:line="360" w:lineRule="auto"/>
              <w:ind w:left="0" w:right="0" w:firstLine="472"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（6）本项目严格执行《环境风险应急预案》提出措施，危废均交由有资质公司进行转运处理，且不涉及危险化学品运输和转移。</w:t>
            </w:r>
          </w:p>
          <w:p>
            <w:pPr>
              <w:keepNext w:val="0"/>
              <w:keepLines w:val="0"/>
              <w:pageBreakBefore w:val="0"/>
              <w:widowControl w:val="0"/>
              <w:kinsoku/>
              <w:wordWrap/>
              <w:overflowPunct/>
              <w:topLinePunct w:val="0"/>
              <w:bidi w:val="0"/>
              <w:spacing w:line="360" w:lineRule="auto"/>
              <w:ind w:firstLine="480" w:firstLineChars="200"/>
              <w:rPr>
                <w:rFonts w:hint="eastAsia" w:cs="Calibri"/>
                <w:color w:val="auto"/>
                <w:sz w:val="32"/>
                <w:szCs w:val="32"/>
              </w:rPr>
            </w:pPr>
            <w:r>
              <w:rPr>
                <w:rFonts w:ascii="宋体" w:hAnsi="宋体"/>
                <w:color w:val="auto"/>
                <w:sz w:val="24"/>
                <w:szCs w:val="24"/>
              </w:rPr>
              <w:t>综上，项目与</w:t>
            </w:r>
            <w:r>
              <w:rPr>
                <w:rFonts w:hint="default" w:ascii="Times New Roman" w:hAnsi="Times New Roman" w:cs="Times New Roman"/>
                <w:color w:val="auto"/>
                <w:sz w:val="24"/>
                <w:szCs w:val="24"/>
              </w:rPr>
              <w:t>《犍为新型工业基地总体规划（2019-2030）环境影响报告书》的审查意见（川环建函[2020]28号）</w:t>
            </w:r>
            <w:r>
              <w:rPr>
                <w:rFonts w:hint="eastAsia" w:cs="Times New Roman"/>
                <w:color w:val="auto"/>
                <w:sz w:val="24"/>
                <w:szCs w:val="24"/>
                <w:lang w:eastAsia="zh-CN"/>
              </w:rPr>
              <w:t>、</w:t>
            </w:r>
            <w:r>
              <w:rPr>
                <w:rFonts w:hint="eastAsia" w:ascii="宋体" w:eastAsia="宋体" w:cs="Times New Roman"/>
                <w:color w:val="auto"/>
                <w:sz w:val="24"/>
                <w:szCs w:val="24"/>
                <w:lang w:eastAsia="zh-CN"/>
              </w:rPr>
              <w:t>《四川省生态环境厅关于犍为县工业集中区扩区规划环境影响跟踪评价工作意见的函》（</w:t>
            </w:r>
            <w:r>
              <w:rPr>
                <w:rFonts w:ascii="宋体" w:eastAsia="宋体" w:cs="Times New Roman"/>
                <w:color w:val="auto"/>
                <w:sz w:val="24"/>
                <w:szCs w:val="24"/>
              </w:rPr>
              <w:t>川环建函</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19</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60</w:t>
            </w:r>
            <w:r>
              <w:rPr>
                <w:rFonts w:ascii="宋体" w:eastAsia="宋体" w:cs="Times New Roman"/>
                <w:color w:val="auto"/>
                <w:sz w:val="24"/>
                <w:szCs w:val="24"/>
              </w:rPr>
              <w:t>号</w:t>
            </w:r>
            <w:r>
              <w:rPr>
                <w:rFonts w:hint="eastAsia" w:ascii="宋体" w:eastAsia="宋体" w:cs="Times New Roman"/>
                <w:color w:val="auto"/>
                <w:sz w:val="24"/>
                <w:szCs w:val="24"/>
                <w:lang w:eastAsia="zh-CN"/>
              </w:rPr>
              <w:t>）</w:t>
            </w:r>
            <w:r>
              <w:rPr>
                <w:rFonts w:ascii="宋体" w:hAnsi="宋体"/>
                <w:color w:val="auto"/>
                <w:sz w:val="24"/>
                <w:szCs w:val="24"/>
              </w:rPr>
              <w:t>相关要求相符。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8" w:hRule="atLeast"/>
          <w:jc w:val="center"/>
        </w:trPr>
        <w:tc>
          <w:tcPr>
            <w:tcW w:w="1377" w:type="dxa"/>
            <w:noWrap w:val="0"/>
            <w:vAlign w:val="center"/>
          </w:tcPr>
          <w:p>
            <w:pPr>
              <w:autoSpaceDE w:val="0"/>
              <w:autoSpaceDN w:val="0"/>
              <w:adjustRightInd w:val="0"/>
              <w:snapToGrid w:val="0"/>
              <w:jc w:val="center"/>
              <w:rPr>
                <w:color w:val="auto"/>
                <w:kern w:val="0"/>
                <w:szCs w:val="21"/>
              </w:rPr>
            </w:pPr>
            <w:r>
              <w:rPr>
                <w:color w:val="auto"/>
                <w:kern w:val="0"/>
                <w:sz w:val="24"/>
                <w:szCs w:val="24"/>
              </w:rPr>
              <w:t>其他符合性分析</w:t>
            </w:r>
          </w:p>
        </w:tc>
        <w:tc>
          <w:tcPr>
            <w:tcW w:w="7493" w:type="dxa"/>
            <w:gridSpan w:val="3"/>
            <w:noWrap w:val="0"/>
            <w:vAlign w:val="top"/>
          </w:tcPr>
          <w:p>
            <w:pPr>
              <w:pStyle w:val="5"/>
              <w:numPr>
                <w:ilvl w:val="0"/>
                <w:numId w:val="0"/>
              </w:numPr>
              <w:adjustRightInd w:val="0"/>
              <w:ind w:leftChars="0"/>
              <w:jc w:val="both"/>
              <w:textAlignment w:val="baseline"/>
              <w:rPr>
                <w:rFonts w:ascii="宋体" w:hAnsi="宋体"/>
                <w:color w:val="auto"/>
                <w:kern w:val="32"/>
                <w:sz w:val="24"/>
                <w:szCs w:val="24"/>
              </w:rPr>
            </w:pPr>
            <w:r>
              <w:rPr>
                <w:rFonts w:hint="eastAsia" w:ascii="宋体" w:hAnsi="宋体"/>
                <w:color w:val="auto"/>
                <w:sz w:val="24"/>
                <w:szCs w:val="24"/>
                <w:lang w:val="en-US" w:eastAsia="zh-CN"/>
              </w:rPr>
              <w:t>一、与“</w:t>
            </w:r>
            <w:r>
              <w:rPr>
                <w:rFonts w:ascii="宋体" w:hAnsi="宋体"/>
                <w:color w:val="auto"/>
                <w:sz w:val="24"/>
                <w:szCs w:val="24"/>
              </w:rPr>
              <w:t>三线一单</w:t>
            </w:r>
            <w:r>
              <w:rPr>
                <w:rFonts w:hint="eastAsia" w:ascii="宋体" w:hAnsi="宋体"/>
                <w:color w:val="auto"/>
                <w:sz w:val="24"/>
                <w:szCs w:val="24"/>
                <w:lang w:val="en-US" w:eastAsia="zh-CN"/>
              </w:rPr>
              <w:t>”</w:t>
            </w:r>
            <w:r>
              <w:rPr>
                <w:rFonts w:hint="eastAsia" w:ascii="宋体" w:hAnsi="宋体"/>
                <w:color w:val="auto"/>
                <w:sz w:val="24"/>
                <w:szCs w:val="24"/>
              </w:rPr>
              <w:t>符合性分析</w:t>
            </w:r>
          </w:p>
          <w:p>
            <w:pPr>
              <w:pStyle w:val="6"/>
              <w:autoSpaceDE w:val="0"/>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根据四川省生态环境厅办公室发布的《产业园区规划环评“三线一单”符合性分析技术要点(试行)》和《项目环评“三线一单”符合性分析技术要点(试行)》的通知（川环办函【2021】469 号）可知，若建设项目位于产业园区内，且产业园区规划环境影响评价中已经开展了园区与“三线一单”符合性分析，则项目环评只需分析与产业园区规划环评生态环境准入要求的符合性；产业园区规划环境影响评价中未开展园区与“三线一单”符合性分析的，则项目环评需进行空间符合性分析以及与产业园区规划环评生态环境准入要求的符合性分析</w:t>
            </w:r>
            <w:r>
              <w:rPr>
                <w:rFonts w:hint="default" w:ascii="Times New Roman" w:hAnsi="Times New Roman" w:eastAsia="宋体" w:cs="Times New Roman"/>
                <w:color w:val="auto"/>
                <w:sz w:val="24"/>
                <w:szCs w:val="24"/>
              </w:rPr>
              <w:t>。</w:t>
            </w:r>
          </w:p>
          <w:p>
            <w:pPr>
              <w:pStyle w:val="6"/>
              <w:autoSpaceDE w:val="0"/>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本项目位于犍为新型工业基地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石马坝组团内，园区规划环评未开展与</w:t>
            </w:r>
            <w:r>
              <w:rPr>
                <w:rFonts w:hint="default" w:ascii="Times New Roman" w:hAnsi="Times New Roman" w:eastAsia="宋体" w:cs="Times New Roman"/>
                <w:color w:val="auto"/>
                <w:sz w:val="24"/>
                <w:szCs w:val="24"/>
                <w:lang w:val="en-US" w:eastAsia="zh-CN"/>
              </w:rPr>
              <w:t>乐山</w:t>
            </w:r>
            <w:r>
              <w:rPr>
                <w:rFonts w:hint="default" w:ascii="Times New Roman" w:hAnsi="Times New Roman" w:eastAsia="宋体" w:cs="Times New Roman"/>
                <w:color w:val="auto"/>
                <w:sz w:val="24"/>
                <w:szCs w:val="24"/>
              </w:rPr>
              <w:t>市“三线一单”的符合性分析，为此，本项目与“生态环境准入清单”符合性分析将从空间符合性以及与产业园区规划环评生态环境准入要求的符合性进行分析。</w:t>
            </w:r>
          </w:p>
          <w:p>
            <w:pPr>
              <w:pStyle w:val="6"/>
              <w:autoSpaceDE w:val="0"/>
              <w:ind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经在四川省生态环境厅“三线一单”符合性分析平台查询，项目所属</w:t>
            </w:r>
            <w:r>
              <w:rPr>
                <w:rFonts w:hint="default" w:ascii="Times New Roman" w:hAnsi="Times New Roman" w:eastAsia="宋体" w:cs="Times New Roman"/>
                <w:color w:val="auto"/>
                <w:sz w:val="24"/>
                <w:szCs w:val="24"/>
              </w:rPr>
              <w:t>非金属废料和碎屑加工处理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C4220</w:t>
            </w:r>
            <w:r>
              <w:rPr>
                <w:rFonts w:hint="default" w:ascii="Times New Roman" w:hAnsi="Times New Roman" w:eastAsia="宋体" w:cs="Times New Roman"/>
                <w:color w:val="auto"/>
                <w:sz w:val="24"/>
                <w:szCs w:val="24"/>
                <w:lang w:val="en-US" w:eastAsia="zh-CN"/>
              </w:rPr>
              <w:t>） ，共涉及 3 个环境管控单元。查询情况见下图，</w:t>
            </w:r>
            <w:r>
              <w:rPr>
                <w:rFonts w:hint="default" w:ascii="Times New Roman" w:hAnsi="Times New Roman" w:cs="Times New Roman"/>
                <w:color w:val="auto"/>
                <w:sz w:val="24"/>
                <w:szCs w:val="24"/>
                <w:lang w:val="en-US" w:eastAsia="zh-CN"/>
              </w:rPr>
              <w:t>涉及到的管控单元见下表。</w:t>
            </w:r>
          </w:p>
          <w:p>
            <w:pPr>
              <w:pStyle w:val="6"/>
              <w:keepNext w:val="0"/>
              <w:keepLines w:val="0"/>
              <w:pageBreakBefore w:val="0"/>
              <w:widowControl w:val="0"/>
              <w:kinsoku/>
              <w:wordWrap/>
              <w:overflowPunct/>
              <w:topLinePunct w:val="0"/>
              <w:autoSpaceDE w:val="0"/>
              <w:autoSpaceDN/>
              <w:bidi w:val="0"/>
              <w:adjustRightInd w:val="0"/>
              <w:snapToGrid/>
              <w:ind w:firstLine="0" w:firstLineChars="0"/>
              <w:jc w:val="both"/>
              <w:textAlignment w:val="baseline"/>
              <w:rPr>
                <w:rFonts w:hint="eastAsia" w:ascii="宋体" w:hAnsi="宋体"/>
                <w:color w:val="auto"/>
                <w:sz w:val="21"/>
                <w:szCs w:val="21"/>
              </w:rPr>
            </w:pPr>
            <w:r>
              <w:rPr>
                <w:color w:val="auto"/>
              </w:rPr>
              <w:drawing>
                <wp:inline distT="0" distB="0" distL="114300" distR="114300">
                  <wp:extent cx="4616450" cy="3456940"/>
                  <wp:effectExtent l="0" t="0" r="12700" b="10160"/>
                  <wp:docPr id="20"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8"/>
                          <pic:cNvPicPr>
                            <a:picLocks noChangeAspect="1"/>
                          </pic:cNvPicPr>
                        </pic:nvPicPr>
                        <pic:blipFill>
                          <a:blip r:embed="rId10"/>
                          <a:stretch>
                            <a:fillRect/>
                          </a:stretch>
                        </pic:blipFill>
                        <pic:spPr>
                          <a:xfrm>
                            <a:off x="0" y="0"/>
                            <a:ext cx="4616450" cy="34569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b/>
                <w:bCs/>
                <w:color w:val="auto"/>
                <w:sz w:val="20"/>
                <w:szCs w:val="20"/>
                <w:lang w:val="en-US" w:eastAsia="zh-CN"/>
              </w:rPr>
            </w:pPr>
            <w:r>
              <w:rPr>
                <w:rFonts w:hint="default" w:ascii="Times New Roman" w:hAnsi="Times New Roman" w:cs="Times New Roman"/>
                <w:b/>
                <w:bCs/>
                <w:color w:val="auto"/>
                <w:sz w:val="20"/>
                <w:szCs w:val="20"/>
                <w:lang w:val="en-US" w:eastAsia="zh-CN"/>
              </w:rPr>
              <w:t>图1-1  项目“三线一单”符合性分析平台查询图</w:t>
            </w:r>
          </w:p>
          <w:p>
            <w:pPr>
              <w:keepNext w:val="0"/>
              <w:keepLines w:val="0"/>
              <w:widowControl/>
              <w:suppressLineNumbers w:val="0"/>
              <w:jc w:val="both"/>
              <w:rPr>
                <w:rFonts w:hint="eastAsia" w:ascii="宋体" w:hAnsi="宋体" w:eastAsia="宋体" w:cs="宋体"/>
                <w:b/>
                <w:bCs/>
                <w:color w:val="auto"/>
                <w:kern w:val="0"/>
                <w:sz w:val="20"/>
                <w:szCs w:val="20"/>
                <w:lang w:val="en-US" w:eastAsia="zh-CN" w:bidi="ar"/>
              </w:rPr>
            </w:pPr>
          </w:p>
          <w:p>
            <w:pPr>
              <w:keepNext w:val="0"/>
              <w:keepLines w:val="0"/>
              <w:widowControl/>
              <w:suppressLineNumbers w:val="0"/>
              <w:jc w:val="center"/>
              <w:rPr>
                <w:color w:val="auto"/>
              </w:rPr>
            </w:pPr>
            <w:r>
              <w:rPr>
                <w:rFonts w:hint="eastAsia" w:ascii="宋体" w:hAnsi="宋体" w:eastAsia="宋体" w:cs="宋体"/>
                <w:b/>
                <w:bCs/>
                <w:color w:val="auto"/>
                <w:kern w:val="0"/>
                <w:sz w:val="20"/>
                <w:szCs w:val="20"/>
                <w:lang w:val="en-US" w:eastAsia="zh-CN" w:bidi="ar"/>
              </w:rPr>
              <w:t xml:space="preserve">表 </w:t>
            </w:r>
            <w:r>
              <w:rPr>
                <w:rFonts w:hint="default" w:ascii="Times New Roman" w:hAnsi="Times New Roman" w:eastAsia="宋体" w:cs="Times New Roman"/>
                <w:b/>
                <w:bCs/>
                <w:color w:val="auto"/>
                <w:kern w:val="0"/>
                <w:sz w:val="20"/>
                <w:szCs w:val="20"/>
                <w:lang w:val="en-US" w:eastAsia="zh-CN" w:bidi="ar"/>
              </w:rPr>
              <w:t>1-</w:t>
            </w:r>
            <w:r>
              <w:rPr>
                <w:rFonts w:hint="eastAsia" w:ascii="Times New Roman" w:hAnsi="Times New Roman" w:eastAsia="宋体" w:cs="Times New Roman"/>
                <w:b/>
                <w:bCs/>
                <w:color w:val="auto"/>
                <w:kern w:val="0"/>
                <w:sz w:val="20"/>
                <w:szCs w:val="20"/>
                <w:lang w:val="en-US" w:eastAsia="zh-CN" w:bidi="ar"/>
              </w:rPr>
              <w:t>1</w:t>
            </w:r>
            <w:r>
              <w:rPr>
                <w:rFonts w:hint="default" w:ascii="Times New Roman" w:hAnsi="Times New Roman" w:eastAsia="宋体" w:cs="Times New Roman"/>
                <w:b/>
                <w:bCs/>
                <w:color w:val="auto"/>
                <w:kern w:val="0"/>
                <w:sz w:val="20"/>
                <w:szCs w:val="20"/>
                <w:lang w:val="en-US" w:eastAsia="zh-CN" w:bidi="ar"/>
              </w:rPr>
              <w:t xml:space="preserve"> </w:t>
            </w:r>
            <w:r>
              <w:rPr>
                <w:rFonts w:hint="eastAsia" w:ascii="宋体" w:hAnsi="宋体" w:eastAsia="宋体" w:cs="宋体"/>
                <w:b/>
                <w:bCs/>
                <w:color w:val="auto"/>
                <w:kern w:val="0"/>
                <w:sz w:val="20"/>
                <w:szCs w:val="20"/>
                <w:lang w:val="en-US" w:eastAsia="zh-CN" w:bidi="ar"/>
              </w:rPr>
              <w:t>项目涉及环境管控单元一览表</w:t>
            </w:r>
          </w:p>
          <w:tbl>
            <w:tblPr>
              <w:tblStyle w:val="30"/>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329"/>
              <w:gridCol w:w="975"/>
              <w:gridCol w:w="724"/>
              <w:gridCol w:w="1263"/>
              <w:gridCol w:w="13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115" w:type="pct"/>
                  <w:tcBorders>
                    <w:tl2br w:val="nil"/>
                    <w:tr2bl w:val="nil"/>
                  </w:tcBorders>
                  <w:shd w:val="clear" w:color="auto" w:fill="DCE6F2"/>
                  <w:noWrap w:val="0"/>
                  <w:vAlign w:val="center"/>
                </w:tcPr>
                <w:p>
                  <w:pPr>
                    <w:widowControl/>
                    <w:spacing w:line="240" w:lineRule="auto"/>
                    <w:ind w:firstLine="0" w:firstLineChars="0"/>
                    <w:jc w:val="both"/>
                    <w:rPr>
                      <w:rStyle w:val="3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912" w:type="pct"/>
                  <w:tcBorders>
                    <w:tl2br w:val="nil"/>
                    <w:tr2bl w:val="nil"/>
                  </w:tcBorders>
                  <w:shd w:val="clear" w:color="auto" w:fill="DCE6F2"/>
                  <w:noWrap w:val="0"/>
                  <w:vAlign w:val="center"/>
                </w:tcPr>
                <w:p>
                  <w:pPr>
                    <w:widowControl/>
                    <w:spacing w:line="240" w:lineRule="auto"/>
                    <w:ind w:firstLine="0" w:firstLineChars="0"/>
                    <w:jc w:val="both"/>
                    <w:rPr>
                      <w:rStyle w:val="3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669" w:type="pct"/>
                  <w:tcBorders>
                    <w:tl2br w:val="nil"/>
                    <w:tr2bl w:val="nil"/>
                  </w:tcBorders>
                  <w:shd w:val="clear" w:color="auto" w:fill="DCE6F2"/>
                  <w:noWrap w:val="0"/>
                  <w:vAlign w:val="center"/>
                </w:tcPr>
                <w:p>
                  <w:pPr>
                    <w:widowControl/>
                    <w:spacing w:line="240" w:lineRule="auto"/>
                    <w:ind w:firstLine="0" w:firstLineChars="0"/>
                    <w:jc w:val="both"/>
                    <w:rPr>
                      <w:rStyle w:val="3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所属市（州）</w:t>
                  </w:r>
                </w:p>
              </w:tc>
              <w:tc>
                <w:tcPr>
                  <w:tcW w:w="497" w:type="pct"/>
                  <w:tcBorders>
                    <w:tl2br w:val="nil"/>
                    <w:tr2bl w:val="nil"/>
                  </w:tcBorders>
                  <w:shd w:val="clear" w:color="auto" w:fill="DCE6F2"/>
                  <w:noWrap w:val="0"/>
                  <w:vAlign w:val="center"/>
                </w:tcPr>
                <w:p>
                  <w:pPr>
                    <w:widowControl/>
                    <w:spacing w:line="240" w:lineRule="auto"/>
                    <w:ind w:firstLine="0" w:firstLineChars="0"/>
                    <w:jc w:val="both"/>
                    <w:rPr>
                      <w:rStyle w:val="3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所属区县</w:t>
                  </w:r>
                </w:p>
              </w:tc>
              <w:tc>
                <w:tcPr>
                  <w:tcW w:w="867" w:type="pct"/>
                  <w:tcBorders>
                    <w:tl2br w:val="nil"/>
                    <w:tr2bl w:val="nil"/>
                  </w:tcBorders>
                  <w:shd w:val="clear" w:color="auto" w:fill="DCE6F2"/>
                  <w:noWrap w:val="0"/>
                  <w:vAlign w:val="center"/>
                </w:tcPr>
                <w:p>
                  <w:pPr>
                    <w:widowControl/>
                    <w:spacing w:line="240" w:lineRule="auto"/>
                    <w:ind w:firstLine="0" w:firstLineChars="0"/>
                    <w:jc w:val="both"/>
                    <w:rPr>
                      <w:rStyle w:val="3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准入清单类型</w:t>
                  </w:r>
                </w:p>
              </w:tc>
              <w:tc>
                <w:tcPr>
                  <w:tcW w:w="935" w:type="pct"/>
                  <w:tcBorders>
                    <w:tl2br w:val="nil"/>
                    <w:tr2bl w:val="nil"/>
                  </w:tcBorders>
                  <w:shd w:val="clear" w:color="auto" w:fill="DCE6F2"/>
                  <w:noWrap w:val="0"/>
                  <w:vAlign w:val="center"/>
                </w:tcPr>
                <w:p>
                  <w:pPr>
                    <w:widowControl/>
                    <w:spacing w:line="240" w:lineRule="auto"/>
                    <w:ind w:firstLine="0" w:firstLineChars="0"/>
                    <w:jc w:val="both"/>
                    <w:rPr>
                      <w:rStyle w:val="3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115"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ZH51112320003</w:t>
                  </w:r>
                </w:p>
              </w:tc>
              <w:tc>
                <w:tcPr>
                  <w:tcW w:w="912"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犍为县要素重点管控单元</w:t>
                  </w:r>
                </w:p>
              </w:tc>
              <w:tc>
                <w:tcPr>
                  <w:tcW w:w="669"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乐山市</w:t>
                  </w:r>
                </w:p>
              </w:tc>
              <w:tc>
                <w:tcPr>
                  <w:tcW w:w="497"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犍为县</w:t>
                  </w:r>
                </w:p>
              </w:tc>
              <w:tc>
                <w:tcPr>
                  <w:tcW w:w="867"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环境管控单元</w:t>
                  </w:r>
                </w:p>
              </w:tc>
              <w:tc>
                <w:tcPr>
                  <w:tcW w:w="935"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环境综合管控单元要素重点管控单元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115"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YS5111233210015</w:t>
                  </w:r>
                </w:p>
              </w:tc>
              <w:tc>
                <w:tcPr>
                  <w:tcW w:w="912"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岷江犍为县月波控制单元</w:t>
                  </w:r>
                </w:p>
              </w:tc>
              <w:tc>
                <w:tcPr>
                  <w:tcW w:w="669"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乐山市</w:t>
                  </w:r>
                </w:p>
              </w:tc>
              <w:tc>
                <w:tcPr>
                  <w:tcW w:w="497"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犍为县</w:t>
                  </w:r>
                </w:p>
              </w:tc>
              <w:tc>
                <w:tcPr>
                  <w:tcW w:w="867"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水环境管控分区</w:t>
                  </w:r>
                </w:p>
              </w:tc>
              <w:tc>
                <w:tcPr>
                  <w:tcW w:w="935"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水环境一般管控区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115"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YS5111232320001</w:t>
                  </w:r>
                </w:p>
              </w:tc>
              <w:tc>
                <w:tcPr>
                  <w:tcW w:w="912"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乐山市犍为县大气环境布局敏感重点管控区</w:t>
                  </w:r>
                </w:p>
              </w:tc>
              <w:tc>
                <w:tcPr>
                  <w:tcW w:w="669"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乐山市</w:t>
                  </w:r>
                </w:p>
              </w:tc>
              <w:tc>
                <w:tcPr>
                  <w:tcW w:w="497"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犍为县</w:t>
                  </w:r>
                </w:p>
              </w:tc>
              <w:tc>
                <w:tcPr>
                  <w:tcW w:w="867"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大气环境管控分区</w:t>
                  </w:r>
                </w:p>
              </w:tc>
              <w:tc>
                <w:tcPr>
                  <w:tcW w:w="935" w:type="pct"/>
                  <w:tcBorders>
                    <w:tl2br w:val="nil"/>
                    <w:tr2bl w:val="nil"/>
                  </w:tcBorders>
                  <w:noWrap w:val="0"/>
                  <w:vAlign w:val="center"/>
                </w:tcPr>
                <w:p>
                  <w:pPr>
                    <w:pStyle w:val="92"/>
                    <w:widowControl/>
                    <w:spacing w:line="240" w:lineRule="auto"/>
                    <w:ind w:firstLine="0" w:firstLineChars="0"/>
                    <w:jc w:val="both"/>
                    <w:rPr>
                      <w:rStyle w:val="32"/>
                      <w:rFonts w:hint="default" w:ascii="Times New Roman" w:hAnsi="Times New Roman" w:eastAsia="宋体" w:cs="Times New Roman"/>
                      <w:color w:val="auto"/>
                      <w:kern w:val="2"/>
                      <w:sz w:val="21"/>
                      <w:szCs w:val="21"/>
                      <w:lang w:val="en-US" w:eastAsia="zh-CN" w:bidi="ar-SA"/>
                    </w:rPr>
                  </w:pPr>
                  <w:r>
                    <w:rPr>
                      <w:rStyle w:val="32"/>
                      <w:rFonts w:hint="default" w:ascii="Times New Roman" w:hAnsi="Times New Roman" w:eastAsia="宋体" w:cs="Times New Roman"/>
                      <w:color w:val="auto"/>
                      <w:kern w:val="2"/>
                      <w:sz w:val="21"/>
                      <w:szCs w:val="21"/>
                      <w:lang w:val="en-US" w:eastAsia="zh-CN" w:bidi="ar-SA"/>
                    </w:rPr>
                    <w:t>大气环境布局敏感重点管控区</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Helvetica" w:cs="Times New Roman"/>
                <w:color w:val="auto"/>
                <w:sz w:val="24"/>
                <w:szCs w:val="24"/>
              </w:rPr>
              <w:t>图南圆织生产线技改项目项目位于乐山市犍为县环境综合管控单元要素重点管控单元（管控单元名称：犍为县要素重点管控单元，管控单元编号：ZH51112320003）</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Helvetica" w:cs="Times New Roman"/>
                <w:color w:val="auto"/>
                <w:sz w:val="24"/>
                <w:szCs w:val="24"/>
              </w:rPr>
            </w:pPr>
            <w:r>
              <w:rPr>
                <w:rFonts w:hint="default" w:ascii="Times New Roman" w:hAnsi="Times New Roman" w:eastAsia="Helvetica" w:cs="Times New Roman"/>
                <w:color w:val="auto"/>
                <w:sz w:val="24"/>
                <w:szCs w:val="24"/>
              </w:rPr>
              <w:t>项目与管控单元相对位置如下图所示：（图中▼表示项目位置）</w:t>
            </w:r>
          </w:p>
          <w:p>
            <w:pPr>
              <w:pStyle w:val="6"/>
              <w:keepNext w:val="0"/>
              <w:keepLines w:val="0"/>
              <w:pageBreakBefore w:val="0"/>
              <w:widowControl w:val="0"/>
              <w:kinsoku/>
              <w:wordWrap/>
              <w:overflowPunct/>
              <w:topLinePunct w:val="0"/>
              <w:autoSpaceDE w:val="0"/>
              <w:autoSpaceDN/>
              <w:bidi w:val="0"/>
              <w:adjustRightInd w:val="0"/>
              <w:snapToGrid/>
              <w:ind w:firstLine="0" w:firstLineChars="0"/>
              <w:jc w:val="both"/>
              <w:textAlignment w:val="baseline"/>
              <w:rPr>
                <w:rFonts w:hint="eastAsia" w:ascii="宋体" w:hAnsi="宋体"/>
                <w:color w:val="auto"/>
                <w:sz w:val="21"/>
                <w:szCs w:val="21"/>
              </w:rPr>
            </w:pPr>
            <w:r>
              <w:rPr>
                <w:rFonts w:hint="default" w:ascii="Helvetica" w:hAnsi="Helvetica" w:eastAsia="Helvetica"/>
                <w:color w:val="auto"/>
                <w:sz w:val="28"/>
                <w:szCs w:val="24"/>
              </w:rPr>
              <w:drawing>
                <wp:inline distT="0" distB="0" distL="114300" distR="114300">
                  <wp:extent cx="4617720" cy="2771140"/>
                  <wp:effectExtent l="0" t="0" r="11430" b="10160"/>
                  <wp:docPr id="5"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3"/>
                          <pic:cNvPicPr>
                            <a:picLocks noChangeAspect="1"/>
                          </pic:cNvPicPr>
                        </pic:nvPicPr>
                        <pic:blipFill>
                          <a:blip r:embed="rId11"/>
                          <a:stretch>
                            <a:fillRect/>
                          </a:stretch>
                        </pic:blipFill>
                        <pic:spPr>
                          <a:xfrm>
                            <a:off x="0" y="0"/>
                            <a:ext cx="4617720" cy="2771140"/>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val="0"/>
              <w:autoSpaceDN/>
              <w:bidi w:val="0"/>
              <w:adjustRightInd w:val="0"/>
              <w:snapToGrid/>
              <w:ind w:left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 1-</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 xml:space="preserve"> 项目与管控单元相对位置关系图</w:t>
            </w:r>
          </w:p>
          <w:p>
            <w:pPr>
              <w:pStyle w:val="6"/>
              <w:numPr>
                <w:ilvl w:val="0"/>
                <w:numId w:val="0"/>
              </w:numPr>
              <w:autoSpaceDE w:val="0"/>
              <w:ind w:leftChars="200"/>
              <w:jc w:val="both"/>
              <w:textAlignment w:val="center"/>
              <w:rPr>
                <w:rFonts w:hint="eastAsia"/>
                <w:b/>
                <w:bCs/>
                <w:color w:val="auto"/>
                <w:sz w:val="21"/>
                <w:szCs w:val="21"/>
              </w:rPr>
            </w:pPr>
          </w:p>
          <w:p>
            <w:pPr>
              <w:spacing w:line="360" w:lineRule="auto"/>
              <w:ind w:firstLine="422" w:firstLineChars="200"/>
              <w:jc w:val="both"/>
              <w:rPr>
                <w:rFonts w:hint="eastAsia" w:ascii="TimesNewRoman" w:hAnsi="TimesNewRoman" w:cs="宋体"/>
                <w:color w:val="auto"/>
              </w:rPr>
            </w:pPr>
            <w:r>
              <w:rPr>
                <w:rFonts w:ascii="Times New Roman" w:hAnsi="Times New Roman"/>
                <w:b/>
                <w:color w:val="auto"/>
              </w:rPr>
              <w:t xml:space="preserve"> </w:t>
            </w:r>
          </w:p>
          <w:p>
            <w:pPr>
              <w:spacing w:line="360" w:lineRule="auto"/>
              <w:ind w:firstLine="480" w:firstLineChars="200"/>
              <w:jc w:val="both"/>
              <w:rPr>
                <w:rFonts w:hint="eastAsia"/>
                <w:bCs/>
                <w:color w:val="auto"/>
                <w:sz w:val="24"/>
              </w:rPr>
            </w:pPr>
          </w:p>
        </w:tc>
      </w:tr>
    </w:tbl>
    <w:p>
      <w:pPr>
        <w:spacing w:line="360" w:lineRule="auto"/>
        <w:outlineLvl w:val="0"/>
        <w:rPr>
          <w:rFonts w:eastAsia="黑体"/>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b/>
          <w:bCs/>
          <w:color w:val="auto"/>
          <w:sz w:val="21"/>
          <w:szCs w:val="22"/>
        </w:rPr>
      </w:pPr>
      <w:r>
        <w:rPr>
          <w:rFonts w:hint="eastAsia"/>
          <w:b/>
          <w:bCs/>
          <w:color w:val="auto"/>
          <w:sz w:val="21"/>
          <w:szCs w:val="22"/>
          <w:lang w:val="en-US" w:eastAsia="zh-CN"/>
        </w:rPr>
        <w:t xml:space="preserve">表1-2  </w:t>
      </w:r>
      <w:r>
        <w:rPr>
          <w:rFonts w:hint="default"/>
          <w:b/>
          <w:bCs/>
          <w:color w:val="auto"/>
          <w:sz w:val="21"/>
          <w:szCs w:val="22"/>
        </w:rPr>
        <w:t>本项目与</w:t>
      </w:r>
      <w:r>
        <w:rPr>
          <w:rFonts w:hint="eastAsia"/>
          <w:b/>
          <w:bCs/>
          <w:color w:val="auto"/>
          <w:sz w:val="21"/>
          <w:szCs w:val="22"/>
          <w:lang w:val="en-US" w:eastAsia="zh-CN"/>
        </w:rPr>
        <w:t>乐山市</w:t>
      </w:r>
      <w:r>
        <w:rPr>
          <w:rFonts w:hint="default"/>
          <w:b/>
          <w:bCs/>
          <w:color w:val="auto"/>
          <w:sz w:val="21"/>
          <w:szCs w:val="22"/>
          <w:highlight w:val="none"/>
        </w:rPr>
        <w:t>犍为县生态环</w:t>
      </w:r>
      <w:r>
        <w:rPr>
          <w:rFonts w:hint="default"/>
          <w:b/>
          <w:bCs/>
          <w:color w:val="auto"/>
          <w:sz w:val="21"/>
          <w:szCs w:val="22"/>
        </w:rPr>
        <w:t>境准入清单符合性分析</w:t>
      </w:r>
    </w:p>
    <w:tbl>
      <w:tblPr>
        <w:tblStyle w:val="31"/>
        <w:tblW w:w="136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034"/>
        <w:gridCol w:w="6530"/>
        <w:gridCol w:w="668"/>
        <w:gridCol w:w="3327"/>
        <w:gridCol w:w="1248"/>
        <w:gridCol w:w="845"/>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1559" w:type="dxa"/>
            <w:gridSpan w:val="4"/>
            <w:tcBorders>
              <w:tl2br w:val="nil"/>
              <w:tr2bl w:val="nil"/>
            </w:tcBorders>
            <w:shd w:val="clear" w:color="auto" w:fill="DCE6F2"/>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r>
              <w:rPr>
                <w:rFonts w:hint="default" w:ascii="Times New Roman" w:hAnsi="Times New Roman" w:eastAsia="宋体" w:cs="Times New Roman"/>
                <w:b/>
                <w:bCs/>
                <w:color w:val="auto"/>
                <w:kern w:val="0"/>
                <w:sz w:val="20"/>
                <w:szCs w:val="20"/>
                <w:lang w:val="en-US" w:eastAsia="zh-CN" w:bidi="ar"/>
              </w:rPr>
              <w:t>“三线一单”的具体要求</w:t>
            </w:r>
          </w:p>
        </w:tc>
        <w:tc>
          <w:tcPr>
            <w:tcW w:w="1248" w:type="dxa"/>
            <w:vMerge w:val="restart"/>
            <w:tcBorders>
              <w:tl2br w:val="nil"/>
              <w:tr2bl w:val="nil"/>
            </w:tcBorders>
            <w:shd w:val="clear" w:color="auto" w:fill="DCE6F2"/>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r>
              <w:rPr>
                <w:rFonts w:hint="default" w:ascii="Times New Roman" w:hAnsi="Times New Roman" w:eastAsia="宋体" w:cs="Times New Roman"/>
                <w:b/>
                <w:bCs/>
                <w:color w:val="auto"/>
                <w:kern w:val="0"/>
                <w:sz w:val="20"/>
                <w:szCs w:val="20"/>
                <w:lang w:val="en-US" w:eastAsia="zh-CN" w:bidi="ar"/>
              </w:rPr>
              <w:t>本项目情况介绍</w:t>
            </w:r>
          </w:p>
        </w:tc>
        <w:tc>
          <w:tcPr>
            <w:tcW w:w="845" w:type="dxa"/>
            <w:vMerge w:val="restart"/>
            <w:tcBorders>
              <w:tl2br w:val="nil"/>
              <w:tr2bl w:val="nil"/>
            </w:tcBorders>
            <w:shd w:val="clear" w:color="auto" w:fill="DCE6F2"/>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r>
              <w:rPr>
                <w:rFonts w:hint="default" w:ascii="Times New Roman" w:hAnsi="Times New Roman" w:eastAsia="宋体" w:cs="Times New Roman"/>
                <w:b/>
                <w:bCs/>
                <w:color w:val="auto"/>
                <w:kern w:val="0"/>
                <w:sz w:val="20"/>
                <w:szCs w:val="20"/>
                <w:lang w:val="en-US" w:eastAsia="zh-CN"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tcBorders>
              <w:tl2br w:val="nil"/>
              <w:tr2bl w:val="nil"/>
            </w:tcBorders>
            <w:shd w:val="clear" w:color="auto" w:fill="DCE6F2"/>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r>
              <w:rPr>
                <w:rFonts w:hint="default" w:ascii="Times New Roman" w:hAnsi="Times New Roman" w:eastAsia="宋体" w:cs="Times New Roman"/>
                <w:b/>
                <w:bCs/>
                <w:color w:val="auto"/>
                <w:kern w:val="0"/>
                <w:sz w:val="20"/>
                <w:szCs w:val="20"/>
                <w:lang w:val="en-US" w:eastAsia="zh-CN" w:bidi="ar-SA"/>
              </w:rPr>
              <w:t>环境管控单元名称（编码）</w:t>
            </w:r>
          </w:p>
        </w:tc>
        <w:tc>
          <w:tcPr>
            <w:tcW w:w="6530" w:type="dxa"/>
            <w:tcBorders>
              <w:tl2br w:val="nil"/>
              <w:tr2bl w:val="nil"/>
            </w:tcBorders>
            <w:shd w:val="clear" w:color="auto" w:fill="DCE6F2"/>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0"/>
                <w:szCs w:val="20"/>
                <w:lang w:val="en-US" w:eastAsia="zh-CN" w:bidi="ar"/>
              </w:rPr>
            </w:pPr>
            <w:r>
              <w:rPr>
                <w:rFonts w:hint="default" w:ascii="Times New Roman" w:hAnsi="Times New Roman" w:eastAsia="宋体" w:cs="Times New Roman"/>
                <w:b/>
                <w:bCs/>
                <w:color w:val="auto"/>
                <w:kern w:val="0"/>
                <w:sz w:val="20"/>
                <w:szCs w:val="20"/>
                <w:lang w:val="en-US" w:eastAsia="zh-CN" w:bidi="ar-SA"/>
              </w:rPr>
              <w:t>乐山市普适性清单</w:t>
            </w:r>
          </w:p>
        </w:tc>
        <w:tc>
          <w:tcPr>
            <w:tcW w:w="668" w:type="dxa"/>
            <w:tcBorders>
              <w:tl2br w:val="nil"/>
              <w:tr2bl w:val="nil"/>
            </w:tcBorders>
            <w:shd w:val="clear" w:color="auto" w:fill="DCE6F2"/>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0"/>
                <w:szCs w:val="20"/>
                <w:lang w:val="en-US" w:eastAsia="zh-CN" w:bidi="ar"/>
              </w:rPr>
            </w:pPr>
            <w:r>
              <w:rPr>
                <w:rFonts w:hint="default" w:ascii="Times New Roman" w:hAnsi="Times New Roman" w:eastAsia="宋体" w:cs="Times New Roman"/>
                <w:b/>
                <w:bCs/>
                <w:color w:val="auto"/>
                <w:kern w:val="0"/>
                <w:sz w:val="20"/>
                <w:szCs w:val="20"/>
                <w:lang w:val="en-US" w:eastAsia="zh-CN" w:bidi="ar-SA"/>
              </w:rPr>
              <w:t>管控类别</w:t>
            </w:r>
          </w:p>
        </w:tc>
        <w:tc>
          <w:tcPr>
            <w:tcW w:w="3327" w:type="dxa"/>
            <w:tcBorders>
              <w:tl2br w:val="nil"/>
              <w:tr2bl w:val="nil"/>
            </w:tcBorders>
            <w:shd w:val="clear" w:color="auto" w:fill="DCE6F2"/>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r>
              <w:rPr>
                <w:rFonts w:hint="default" w:ascii="Times New Roman" w:hAnsi="Times New Roman" w:eastAsia="宋体" w:cs="Times New Roman"/>
                <w:b/>
                <w:bCs/>
                <w:color w:val="auto"/>
                <w:kern w:val="0"/>
                <w:sz w:val="20"/>
                <w:szCs w:val="20"/>
                <w:lang w:val="en-US" w:eastAsia="zh-CN" w:bidi="ar-SA"/>
              </w:rPr>
              <w:t>单元特性管控要求</w:t>
            </w:r>
          </w:p>
        </w:tc>
        <w:tc>
          <w:tcPr>
            <w:tcW w:w="1248" w:type="dxa"/>
            <w:vMerge w:val="continue"/>
            <w:tcBorders>
              <w:tl2br w:val="nil"/>
              <w:tr2bl w:val="nil"/>
            </w:tcBorders>
            <w:shd w:val="clear" w:color="auto" w:fill="DCE6F2"/>
            <w:noWrap w:val="0"/>
            <w:vAlign w:val="top"/>
          </w:tcPr>
          <w:p>
            <w:pPr>
              <w:pStyle w:val="10"/>
              <w:rPr>
                <w:rFonts w:hint="default" w:ascii="Times New Roman" w:hAnsi="Times New Roman" w:cs="Times New Roman"/>
                <w:color w:val="auto"/>
                <w:sz w:val="20"/>
                <w:szCs w:val="20"/>
                <w:vertAlign w:val="baseline"/>
              </w:rPr>
            </w:pPr>
          </w:p>
        </w:tc>
        <w:tc>
          <w:tcPr>
            <w:tcW w:w="845" w:type="dxa"/>
            <w:vMerge w:val="continue"/>
            <w:tcBorders>
              <w:tl2br w:val="nil"/>
              <w:tr2bl w:val="nil"/>
            </w:tcBorders>
            <w:shd w:val="clear" w:color="auto" w:fill="DCE6F2"/>
            <w:noWrap w:val="0"/>
            <w:vAlign w:val="top"/>
          </w:tcPr>
          <w:p>
            <w:pPr>
              <w:pStyle w:val="10"/>
              <w:rPr>
                <w:rFonts w:hint="default" w:ascii="Times New Roman" w:hAnsi="Times New Roman" w:cs="Times New Roman"/>
                <w:color w:val="auto"/>
                <w:sz w:val="20"/>
                <w:szCs w:val="20"/>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vMerge w:val="restart"/>
            <w:tcBorders>
              <w:tl2br w:val="nil"/>
              <w:tr2bl w:val="nil"/>
            </w:tcBorders>
            <w:noWrap w:val="0"/>
            <w:vAlign w:val="center"/>
          </w:tcPr>
          <w:p>
            <w:pPr>
              <w:pStyle w:val="93"/>
              <w:widowControl/>
              <w:spacing w:line="240" w:lineRule="auto"/>
              <w:ind w:firstLine="0" w:firstLineChars="0"/>
              <w:jc w:val="left"/>
              <w:rPr>
                <w:rFonts w:hint="default" w:ascii="Times New Roman" w:hAnsi="Times New Roman" w:cs="Times New Roman"/>
                <w:color w:val="auto"/>
                <w:sz w:val="20"/>
                <w:szCs w:val="20"/>
                <w:vertAlign w:val="baseline"/>
                <w:lang w:val="en-US" w:eastAsia="zh-CN" w:bidi="ar-SA"/>
              </w:rPr>
            </w:pPr>
            <w:r>
              <w:rPr>
                <w:rStyle w:val="32"/>
                <w:rFonts w:hint="default" w:ascii="Times New Roman" w:hAnsi="Times New Roman" w:eastAsia="宋体" w:cs="Times New Roman"/>
                <w:color w:val="auto"/>
                <w:kern w:val="2"/>
                <w:sz w:val="20"/>
                <w:szCs w:val="20"/>
                <w:lang w:val="en-US" w:eastAsia="zh-CN" w:bidi="ar-SA"/>
              </w:rPr>
              <w:t>犍为县要素重点管控单元ZH51112320003</w:t>
            </w:r>
          </w:p>
        </w:tc>
        <w:tc>
          <w:tcPr>
            <w:tcW w:w="6530" w:type="dxa"/>
            <w:vMerge w:val="restart"/>
            <w:tcBorders>
              <w:tl2br w:val="nil"/>
              <w:tr2bl w:val="nil"/>
            </w:tcBorders>
            <w:noWrap w:val="0"/>
            <w:vAlign w:val="top"/>
          </w:tcPr>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空间布局约束：</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禁止开发建设活动的要求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（1）禁止在长江干支流岸线一公里范围内新建、扩建化工园区和化工项目；禁止在长江重要支流岸线一公里范围内新建、改建、扩建尾矿库（以提升安全、生态环境保护水平为目的的改建除外）；</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（2）禁止在长江流域开放水域养殖、投放外来物种或者其他非本地物种种质资源。禁止在长江流域禁止采砂区和禁止采砂期从事采砂活动。全面停止小型水电项目开发，已建成的中小型水电站不再扩容；</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（3）禁止在法律法规规定的禁采区内开采矿产；禁止土法采、选、冶严重污染环境的矿产资源；</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（4）对于基本农田，除法律规定的重点建设项目选址确实无法避让外，其他任何建设不得占用；</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（5）畜禽养殖严格按照乐山市各区县畜禽养殖区域划定方案执行，依法关闭或搬迁禁养区内的畜禽养殖场（小区）和养殖专业户。</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限制开发建设活动的要求</w:t>
            </w:r>
          </w:p>
          <w:p>
            <w:pPr>
              <w:pStyle w:val="93"/>
              <w:widowControl w:val="0"/>
              <w:numPr>
                <w:ilvl w:val="0"/>
                <w:numId w:val="2"/>
              </w:numPr>
              <w:spacing w:line="360" w:lineRule="auto"/>
              <w:ind w:left="-60" w:leftChars="0"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现有化工、建材、有色、钢铁等工业企业，原则上限制发展，污染物排放只降不增，允许以提升安全、生态环境保护水平为目的的改建，引导企业结合产业升级等适时搬迁入园；</w:t>
            </w:r>
          </w:p>
          <w:p>
            <w:pPr>
              <w:pStyle w:val="93"/>
              <w:widowControl w:val="0"/>
              <w:numPr>
                <w:ilvl w:val="0"/>
                <w:numId w:val="0"/>
              </w:numPr>
              <w:spacing w:line="360" w:lineRule="auto"/>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（2）单元内若新布局工业园区，应符合最新的国土空间规划，并结合区域环境特点、三线成果、园区产业类别，充分论证选址的环境合理性；</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3）水环境农业污染重点管控区应严格限制布设以电力、钢铁、造纸、石化、化工、印染、化纤等高耗水行业为主导产业的园区；新建屠宰、用排水量大的农副产品加工等以水污染为主的企业，严格实行水污染物倍量替代；控制畜禽养殖规模，全面治理畜禽养殖污染；</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4）大气环境布局敏感区应严格限制布设以钢铁、建材、石化、化工、有色等高污染行业为主导产业的园区，大气环境弱扩散区谨慎布局垃圾发电、危废焚烧等以大气污染为主的企业；位于不达标区域的大气环境布局敏感严格限制新建、扩建涉气三类工业项目；</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5）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（6）坚持最严格的耕地保护制度，对全部耕地按限制开发的要求进行管理。严格限制农用地转为建设用地，控制建设用地总量，对耕地实行特殊保护；</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7）新建大中型水电工程，应当经科学论证，并报国务院或者国务院授权的部门批准。除与生态环境保护相协调的且是国务院及其相关部门、省级人民政府认可的脱贫攻坚项目外，严控新建商业开发的小水电项目；</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（8）长江流域河道采砂应当依法取得国务院水行政主管部门有关流域管理机构或者县级以上地方人民政府水行政主管部门的许可。严格控制采砂区域、采砂总量和采砂区域内的采砂船舶数量。</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不符合空间布局要求活动的退出要求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（1）全面取缔禁养区内规模化畜禽养殖场。岷江岸线延伸至陆域200米范围内基本消除畜禽养殖场（小区）；</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（2）对长江流域已建小水电工程，不符合生态保护要求的，县级以上地方人民政府应当组织分类整改或者采取措施逐步退出；</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（3）长江主要支流重点管控岸线：按照长江干线非法码头治理标准和生态保护红线管控等要求，持续开展长江主要支流非法码头整治。</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其他空间布局约束要求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污染物排放管控：</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允许排放量要求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（1）对新建排放二氧化硫、氮氧化物、工业烟粉尘和挥发性有机物的项目实施现役源2倍削减替代；</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（2）上一年度水环境质量未完成目标的，新建排放水污染的建设项目按照总量管控要求进行倍量削减替代；</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（3）水质超标的水功能区，应当实施更严格的污染物排放总量削减要求。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现有源提标升级改造</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 xml:space="preserve">（1）现有处理规模大于1000吨日的城镇生活污水处理厂，以及存栏量≥300 头猪、粪污经处理后向环境排放的畜禽养殖场，应执行《四川省岷江、沱江流域水污染物排放标准》（DB512311-2016）相关要求； </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2）市中区、五通桥区、沙湾区、犍为县、井研县、夹江县、峨眉山市的现有企业执行相应行业以及锅炉大气污染物排放标准中颗粒物、二氧化硫、氮氧化物和挥发性有机物特别排放限值和特别控制要求。全市燃煤锅炉稳定达到超低排放限值要求，烟粉尘低于10毫克立方米，二氧化硫低于35毫克立方米，氮氧化物低于50毫克立方米；</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3）严禁新增钢铁、电力、水泥、玻璃、砖瓦、陶瓷、焦化、电解铝、有色等重点行业大气污染物排放。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其他污染物排放管控要求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（1）新、改、扩建工业项目全面执行大气污染物特别排放限值。</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（2）乡镇生活污水处理设施全覆盖，生活污水收集处理率80%。到 2022 年底，65%以上的行政村农村生活污水得到有效治理。</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3）新、改扩建规模化畜禽养殖场（小区）要实施雨污分流、粪便污水资源化利用。主要农作物化肥、农药使用量实现零增长，利用率提高到40%以上，测土配方施肥技术推广覆盖率提高到90%以上，控制农村面源污染，采取灌排分离等措施控制农田氮磷流失。</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（4）新、改扩造纸企业参考执行乐山市“三线一单”生态环境分区管控中制浆造纸行业资源环境绩效准入门槛相应要求。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（5）屠宰项目如需接入城市污水管网，必须按照排水许可证要求排放污水，同时接受所在地的城镇排水主管部门的监督管理。</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（6）到 2023 年底，乡镇及行政村生活垃圾收转运处置体系基本实现全覆盖。</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7）大气环境布局敏感区强化挥发性有机物整治。扎实推进机械设备制造、家具制造等重点行业挥发性有机物治理，确保全面达标；推广使用符合环保要求的建筑涂料、木器涂料、胶黏剂等产品；全面推广汽修行业使用低挥发性涂料，采用高效涂装工艺，完善有机废气收集和处理系统，取缔露天和敞开式汽修喷涂作业。</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8）严格执行《关于实施第六阶段机动车排放标准的通告》及《四川省机动车和非道路移动机械排气污染防治办法》。加强油品的监督管理，按照国家、省要求全面供应国六标准的车用汽柴油，严厉打击生产、销售、使用不合格油品和车用尿素行为。</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9）严格控制道路扬尘。国省道路、高速路连接线等重点通行线路和建成区城乡结合部每天机械化清扫、冲洗不少于1次。强化城郊结合部扬尘污染管控。重点抓好重点交通建筑工地扬尘治理，切实加强城郊结合部重点货车绕行道路扬尘治理。熏制腊肉集中规划布点，加强宣传和引导，防止腌制品熏制污染大气环境。</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环境风险防控：</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联防联控要求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其他环境风险防控要求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（1）严禁新增以铅、汞、镉、铬、砷五类重金属为主的污染物排放，引导现有企业结合产业升级等适时搬入产业对口园区；</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2）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应按相关要求进行土壤环境状况调查评估，符合相应规划用地土壤环境质量要求的地块，方可进入用地程序；</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（3）严禁将城镇生活垃圾、污泥、工业废物直接用作肥料，禁止处理不达标的污泥进入耕地；禁止在农用地排放、倾倒、使用污泥、清淤底泥、尾矿（渣）等可能对土壤造成污染的固体废物；</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4）严格控制在优先保护类耕地集中的区县新建有色金属矿采选、有色金属冶炼、石油加工、化工、焦化、电镀、制革、天然（页岩）气开采、铅蓄电池、汽车制造、农药、危废处置、电子拆解、涉重等行业企业。严格控制林地、草地、园地的农药使用量，禁止使用高毒、高残留农药。</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资源开发利用效率要求：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水资源利用总量要求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1）加强农业灌溉管理，发展喷灌、微灌、管道输水灌溉、水肥一体化等高效农业节水灌溉方式和农耕农艺节水技术，提高输配水效率和调度水平。发展节水渔业、牧业，组织实施规模养殖场节水建设和改造，推行节水型畜禽养殖技术和方式。</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地下水开采要求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能源利用总量及效率要求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（1）禁止焚烧秸秆，大力推进秸秆肥料化、饲料化、基料化、原料化、能源化等多种形式的秸秆综合利用。</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（2）到2030年，农业废弃物全部实现资源化利用，</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（3）在秋收和夏收阶段开展秸秆禁烧专项巡查，强化成都平原地区区域联动。</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禁燃区要求</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（1）能源结构以天然气和电为主。保留20蒸吨小时以上燃煤锅炉，并执行超低排放要求，鼓励搬入园区；</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（2）禁燃区内禁止审批（核准、备案）、新建、扩建燃用高污染燃料的项目和设施。</w:t>
            </w:r>
          </w:p>
          <w:p>
            <w:pPr>
              <w:pStyle w:val="93"/>
              <w:widowControl w:val="0"/>
              <w:spacing w:line="360" w:lineRule="auto"/>
              <w:ind w:firstLine="0" w:firstLineChars="0"/>
              <w:jc w:val="both"/>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其他资源利用效率要求</w:t>
            </w:r>
          </w:p>
          <w:p>
            <w:pPr>
              <w:pStyle w:val="93"/>
              <w:widowControl w:val="0"/>
              <w:spacing w:line="360" w:lineRule="auto"/>
              <w:ind w:firstLine="0" w:firstLineChars="0"/>
              <w:jc w:val="both"/>
              <w:rPr>
                <w:rFonts w:hint="default" w:ascii="Times New Roman" w:hAnsi="Times New Roman" w:cs="Times New Roman"/>
                <w:color w:val="auto"/>
                <w:sz w:val="20"/>
                <w:szCs w:val="20"/>
                <w:vertAlign w:val="baseline"/>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tc>
        <w:tc>
          <w:tcPr>
            <w:tcW w:w="668" w:type="dxa"/>
            <w:tcBorders>
              <w:tl2br w:val="nil"/>
              <w:tr2bl w:val="nil"/>
            </w:tcBorders>
            <w:noWrap w:val="0"/>
            <w:vAlign w:val="center"/>
          </w:tcPr>
          <w:p>
            <w:pPr>
              <w:pStyle w:val="93"/>
              <w:widowControl/>
              <w:spacing w:line="240" w:lineRule="auto"/>
              <w:ind w:firstLine="0" w:firstLineChars="0"/>
              <w:jc w:val="left"/>
              <w:rPr>
                <w:rFonts w:hint="default" w:ascii="Times New Roman" w:hAnsi="Times New Roman" w:cs="Times New Roman"/>
                <w:color w:val="auto"/>
                <w:sz w:val="20"/>
                <w:szCs w:val="20"/>
                <w:vertAlign w:val="baseline"/>
                <w:lang w:val="en-US" w:eastAsia="zh-CN" w:bidi="ar-SA"/>
              </w:rPr>
            </w:pPr>
            <w:r>
              <w:rPr>
                <w:rStyle w:val="32"/>
                <w:rFonts w:hint="default" w:ascii="Times New Roman" w:hAnsi="Times New Roman" w:eastAsia="宋体" w:cs="Times New Roman"/>
                <w:color w:val="auto"/>
                <w:kern w:val="2"/>
                <w:sz w:val="20"/>
                <w:szCs w:val="20"/>
                <w:lang w:val="en-US" w:eastAsia="zh-CN" w:bidi="ar-SA"/>
              </w:rPr>
              <w:t>空间布局约束</w:t>
            </w:r>
          </w:p>
        </w:tc>
        <w:tc>
          <w:tcPr>
            <w:tcW w:w="3327" w:type="dxa"/>
            <w:tcBorders>
              <w:tl2br w:val="nil"/>
              <w:tr2bl w:val="nil"/>
            </w:tcBorders>
            <w:noWrap w:val="0"/>
            <w:vAlign w:val="center"/>
          </w:tcPr>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禁止开发建设活动的要求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执行乐山市要素重点管控单元普适性总体准入要求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限制开发建设活动的要求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1、严控新建用排水量大的、以水污染为主的企业，改扩建制浆造纸项目水重复利用率、吨产品排水量等清洁生产指标应达到一级标准；2、严控新建以大气污染为主的企业；3、其他执行乐山市要素重点管控单元普适性总体准入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允许开发建设活动的要求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不符合空间布局要求活动的退出要求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1、单元内既有合法手续的、且污染物排放和环境风险满足管控要求的企业可继续保留，不得新增污染物排放，并进一步加强监管；否则限期进行整改，整改后任不能达到要求的，属地政府责令关停退出；2、其他执行乐山市要素重点管控单元普适性总体准入要求</w:t>
            </w:r>
          </w:p>
          <w:p>
            <w:pPr>
              <w:pStyle w:val="93"/>
              <w:widowControl/>
              <w:shd w:val="clear" w:color="auto" w:fill="FFFFFF"/>
              <w:spacing w:line="240" w:lineRule="auto"/>
              <w:ind w:firstLine="0" w:firstLineChars="0"/>
              <w:jc w:val="left"/>
              <w:rPr>
                <w:rFonts w:hint="default" w:ascii="Times New Roman" w:hAnsi="Times New Roman" w:cs="Times New Roman"/>
                <w:color w:val="auto"/>
                <w:sz w:val="20"/>
                <w:szCs w:val="20"/>
                <w:vertAlign w:val="baseline"/>
                <w:lang w:val="en-US" w:eastAsia="zh-CN" w:bidi="ar-SA"/>
              </w:rPr>
            </w:pPr>
            <w:r>
              <w:rPr>
                <w:rStyle w:val="32"/>
                <w:rFonts w:hint="default" w:ascii="Times New Roman" w:hAnsi="Times New Roman" w:eastAsia="宋体" w:cs="Times New Roman"/>
                <w:color w:val="auto"/>
                <w:kern w:val="2"/>
                <w:sz w:val="20"/>
                <w:szCs w:val="20"/>
                <w:lang w:val="en-US" w:eastAsia="zh-CN" w:bidi="ar-SA"/>
              </w:rPr>
              <w:t>其他空间布局约束要求</w:t>
            </w:r>
          </w:p>
        </w:tc>
        <w:tc>
          <w:tcPr>
            <w:tcW w:w="1248" w:type="dxa"/>
            <w:vMerge w:val="restart"/>
            <w:tcBorders>
              <w:tl2br w:val="nil"/>
              <w:tr2bl w:val="nil"/>
            </w:tcBorders>
            <w:noWrap w:val="0"/>
            <w:vAlign w:val="center"/>
          </w:tcPr>
          <w:p>
            <w:pPr>
              <w:keepNext w:val="0"/>
              <w:keepLines w:val="0"/>
              <w:widowControl/>
              <w:suppressLineNumbers w:val="0"/>
              <w:jc w:val="both"/>
              <w:rPr>
                <w:rFonts w:hint="default" w:ascii="Times New Roman" w:hAnsi="Times New Roman" w:cs="Times New Roman"/>
                <w:color w:val="auto"/>
                <w:sz w:val="20"/>
                <w:szCs w:val="20"/>
                <w:vertAlign w:val="baseline"/>
                <w:lang w:val="en-US"/>
              </w:rPr>
            </w:pPr>
            <w:r>
              <w:rPr>
                <w:rFonts w:hint="default" w:ascii="Times New Roman" w:hAnsi="Times New Roman" w:eastAsia="宋体" w:cs="Times New Roman"/>
                <w:color w:val="auto"/>
                <w:kern w:val="0"/>
                <w:sz w:val="20"/>
                <w:szCs w:val="20"/>
                <w:highlight w:val="none"/>
                <w:shd w:val="clear" w:color="auto" w:fill="auto"/>
                <w:lang w:val="en-US" w:eastAsia="zh-CN" w:bidi="ar"/>
              </w:rPr>
              <w:t>本项目为改扩建项目，无新增废气排放，仅新增少量生活废水及生活固废。</w:t>
            </w: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r>
              <w:rPr>
                <w:rFonts w:hint="default" w:ascii="Times New Roman" w:hAnsi="Times New Roman" w:eastAsia="宋体" w:cs="Times New Roman"/>
                <w:color w:val="auto"/>
                <w:kern w:val="0"/>
                <w:sz w:val="20"/>
                <w:szCs w:val="20"/>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53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68" w:type="dxa"/>
            <w:tcBorders>
              <w:tl2br w:val="nil"/>
              <w:tr2bl w:val="nil"/>
            </w:tcBorders>
            <w:noWrap w:val="0"/>
            <w:vAlign w:val="center"/>
          </w:tcPr>
          <w:p>
            <w:pPr>
              <w:pStyle w:val="93"/>
              <w:widowControl/>
              <w:spacing w:line="240" w:lineRule="auto"/>
              <w:ind w:firstLine="0" w:firstLineChars="0"/>
              <w:jc w:val="left"/>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污染物排放管控</w:t>
            </w:r>
          </w:p>
        </w:tc>
        <w:tc>
          <w:tcPr>
            <w:tcW w:w="3327" w:type="dxa"/>
            <w:tcBorders>
              <w:tl2br w:val="nil"/>
              <w:tr2bl w:val="nil"/>
            </w:tcBorders>
            <w:noWrap w:val="0"/>
            <w:vAlign w:val="center"/>
          </w:tcPr>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现有源提标升级改造</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执行乐山市要素重点管控单元普适性总体准入要求。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新增源等量或倍量替代</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执行乐山市要素重点管控单元普适性总体准入要求。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新增源排放标准限值</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污染物排放绩效水平准入要求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1、控制工业、生活污染源，减少移动源污染物排放。打好柴油货车污染治理攻坚战，实施“车、油、路、管”综合整治；加快老旧车辆的淘汰和不达标车辆的整治。加强渣土运输车辆规范化管理，严格实施密闭运输，强化城乡结合部环境监管；2、其他执行乐山市要素重点管控单元普适性总体准入要求。</w:t>
            </w:r>
          </w:p>
          <w:p>
            <w:pPr>
              <w:pStyle w:val="93"/>
              <w:widowControl/>
              <w:shd w:val="clear" w:color="auto" w:fill="FFFFFF"/>
              <w:spacing w:line="240" w:lineRule="auto"/>
              <w:ind w:firstLine="0" w:firstLineChars="0"/>
              <w:jc w:val="left"/>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其他污染物排放管控要求</w:t>
            </w:r>
          </w:p>
        </w:tc>
        <w:tc>
          <w:tcPr>
            <w:tcW w:w="1248" w:type="dxa"/>
            <w:vMerge w:val="continue"/>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kern w:val="0"/>
                <w:sz w:val="20"/>
                <w:szCs w:val="20"/>
                <w:highlight w:val="none"/>
                <w:shd w:val="clear" w:color="auto" w:fill="auto"/>
                <w:lang w:val="en-US" w:eastAsia="zh-CN" w:bidi="ar"/>
              </w:rPr>
            </w:pP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53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68" w:type="dxa"/>
            <w:tcBorders>
              <w:tl2br w:val="nil"/>
              <w:tr2bl w:val="nil"/>
            </w:tcBorders>
            <w:noWrap w:val="0"/>
            <w:vAlign w:val="center"/>
          </w:tcPr>
          <w:p>
            <w:pPr>
              <w:pStyle w:val="93"/>
              <w:widowControl/>
              <w:spacing w:line="240" w:lineRule="auto"/>
              <w:ind w:firstLine="0" w:firstLineChars="0"/>
              <w:jc w:val="left"/>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环境风险防控</w:t>
            </w:r>
          </w:p>
        </w:tc>
        <w:tc>
          <w:tcPr>
            <w:tcW w:w="3327" w:type="dxa"/>
            <w:tcBorders>
              <w:tl2br w:val="nil"/>
              <w:tr2bl w:val="nil"/>
            </w:tcBorders>
            <w:noWrap w:val="0"/>
            <w:vAlign w:val="center"/>
          </w:tcPr>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严格管控类农用地管控要求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安全利用类农用地管控要求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污染地块管控要求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园区环境风险防控要求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企业环境风险防控要求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1、土壤污染重点监管企业应严格执行《中华人民共和国土壤污染防治法》、《工矿用地土壤环境管理办法（试行）》、《四川省工况用地土壤环境管理办法》、《土壤污染防治行动计划四川省工作方案》等要求；2、其他执行乐山市要素重点管控单元普适性总体准入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其他环境风险防控要求</w:t>
            </w:r>
          </w:p>
          <w:p>
            <w:pPr>
              <w:pStyle w:val="93"/>
              <w:widowControl/>
              <w:shd w:val="clear" w:color="auto" w:fill="FFFFFF"/>
              <w:spacing w:line="240" w:lineRule="auto"/>
              <w:ind w:firstLine="0" w:firstLineChars="0"/>
              <w:jc w:val="left"/>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执行乐山市要素重点管控单元普适性总体准入要求。</w:t>
            </w:r>
          </w:p>
        </w:tc>
        <w:tc>
          <w:tcPr>
            <w:tcW w:w="1248"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kern w:val="0"/>
                <w:sz w:val="20"/>
                <w:szCs w:val="20"/>
                <w:highlight w:val="none"/>
                <w:shd w:val="clear" w:color="auto" w:fill="auto"/>
                <w:lang w:val="en-US" w:eastAsia="zh-CN" w:bidi="ar"/>
              </w:rPr>
            </w:pPr>
            <w:r>
              <w:rPr>
                <w:rFonts w:hint="default" w:ascii="Times New Roman" w:hAnsi="Times New Roman" w:eastAsia="宋体" w:cs="Times New Roman"/>
                <w:color w:val="auto"/>
                <w:kern w:val="0"/>
                <w:sz w:val="20"/>
                <w:szCs w:val="20"/>
                <w:highlight w:val="none"/>
                <w:lang w:val="en-US" w:eastAsia="zh-CN" w:bidi="ar"/>
              </w:rPr>
              <w:t>本项目不涉及有毒有害、易燃易爆物质，不涉重金属，涉及的环境风险物质为</w:t>
            </w:r>
            <w:r>
              <w:rPr>
                <w:rFonts w:hint="default" w:ascii="Times New Roman" w:hAnsi="Times New Roman" w:cs="Times New Roman"/>
                <w:color w:val="auto"/>
                <w:kern w:val="0"/>
                <w:sz w:val="20"/>
                <w:szCs w:val="20"/>
                <w:highlight w:val="none"/>
                <w:lang w:val="en-US" w:eastAsia="zh-CN" w:bidi="ar"/>
              </w:rPr>
              <w:t>在</w:t>
            </w:r>
            <w:r>
              <w:rPr>
                <w:rFonts w:hint="default" w:ascii="Times New Roman" w:hAnsi="Times New Roman" w:eastAsia="宋体" w:cs="Times New Roman"/>
                <w:color w:val="auto"/>
                <w:kern w:val="0"/>
                <w:sz w:val="20"/>
                <w:szCs w:val="20"/>
                <w:highlight w:val="none"/>
                <w:lang w:val="en-US" w:eastAsia="zh-CN" w:bidi="ar"/>
              </w:rPr>
              <w:t>厂区内储存量远低于临界量；在采取环评提出的风险防范措施后，其在营运期的环境风险可接受，并且其环境风险事故隐患可降至最低。</w:t>
            </w: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53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68" w:type="dxa"/>
            <w:tcBorders>
              <w:tl2br w:val="nil"/>
              <w:tr2bl w:val="nil"/>
            </w:tcBorders>
            <w:noWrap w:val="0"/>
            <w:vAlign w:val="center"/>
          </w:tcPr>
          <w:p>
            <w:pPr>
              <w:pStyle w:val="93"/>
              <w:widowControl/>
              <w:spacing w:line="240" w:lineRule="auto"/>
              <w:ind w:firstLine="0" w:firstLineChars="0"/>
              <w:jc w:val="left"/>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资源开发效率要求</w:t>
            </w:r>
          </w:p>
        </w:tc>
        <w:tc>
          <w:tcPr>
            <w:tcW w:w="3327" w:type="dxa"/>
            <w:tcBorders>
              <w:tl2br w:val="nil"/>
              <w:tr2bl w:val="nil"/>
            </w:tcBorders>
            <w:noWrap w:val="0"/>
            <w:vAlign w:val="center"/>
          </w:tcPr>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水资源利用效率要求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执行乐山市要素重点管控单元普适性总体准入要求。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地下水开采要求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能源利用效率要求</w:t>
            </w:r>
          </w:p>
          <w:p>
            <w:pPr>
              <w:pStyle w:val="93"/>
              <w:widowControl/>
              <w:shd w:val="clear" w:color="auto" w:fill="FFFFFF"/>
              <w:spacing w:line="240" w:lineRule="auto"/>
              <w:ind w:firstLine="0" w:firstLineChars="0"/>
              <w:jc w:val="left"/>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1、禁燃区内禁止销售高污染燃料，禁止新建、扩建燃用高污染燃料的锅炉、炉窑、炉灶等燃烧设施；2、其他执行乐山市要素重点管控单元普适性总体准入要求。</w:t>
            </w:r>
          </w:p>
          <w:p>
            <w:pPr>
              <w:pStyle w:val="93"/>
              <w:widowControl/>
              <w:shd w:val="clear" w:color="auto" w:fill="FFFFFF"/>
              <w:spacing w:line="240" w:lineRule="auto"/>
              <w:ind w:firstLine="0" w:firstLineChars="0"/>
              <w:jc w:val="left"/>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其他资源利用效率要求</w:t>
            </w:r>
          </w:p>
        </w:tc>
        <w:tc>
          <w:tcPr>
            <w:tcW w:w="1248"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kern w:val="0"/>
                <w:sz w:val="20"/>
                <w:szCs w:val="20"/>
                <w:highlight w:val="none"/>
                <w:shd w:val="clear" w:color="auto" w:fill="auto"/>
                <w:lang w:val="en-US" w:eastAsia="zh-CN" w:bidi="ar"/>
              </w:rPr>
            </w:pPr>
            <w:r>
              <w:rPr>
                <w:rFonts w:hint="default" w:ascii="Times New Roman" w:hAnsi="Times New Roman" w:cs="Times New Roman"/>
                <w:color w:val="auto"/>
                <w:sz w:val="20"/>
                <w:szCs w:val="20"/>
              </w:rPr>
              <w:t>本项目</w:t>
            </w:r>
            <w:r>
              <w:rPr>
                <w:rFonts w:hint="default" w:ascii="Times New Roman" w:hAnsi="Times New Roman" w:cs="Times New Roman"/>
                <w:color w:val="auto"/>
                <w:sz w:val="20"/>
                <w:szCs w:val="20"/>
                <w:lang w:val="en-US" w:eastAsia="zh-CN"/>
              </w:rPr>
              <w:t>生产</w:t>
            </w:r>
            <w:r>
              <w:rPr>
                <w:rFonts w:hint="default" w:ascii="Times New Roman" w:hAnsi="Times New Roman" w:cs="Times New Roman"/>
                <w:color w:val="auto"/>
                <w:sz w:val="20"/>
                <w:szCs w:val="20"/>
                <w:lang w:eastAsia="zh-CN"/>
              </w:rPr>
              <w:t>用水使用地下水，</w:t>
            </w:r>
            <w:r>
              <w:rPr>
                <w:rFonts w:hint="default" w:ascii="Times New Roman" w:hAnsi="Times New Roman" w:cs="Times New Roman"/>
                <w:color w:val="auto"/>
                <w:sz w:val="20"/>
                <w:szCs w:val="20"/>
                <w:lang w:val="en-US" w:eastAsia="zh-CN"/>
              </w:rPr>
              <w:t>企业已取得取水许可证（取水川乐键字[2019]第20号），能源为电。</w:t>
            </w: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tcBorders>
              <w:tl2br w:val="nil"/>
              <w:tr2bl w:val="nil"/>
            </w:tcBorders>
            <w:noWrap w:val="0"/>
            <w:vAlign w:val="center"/>
          </w:tcPr>
          <w:p>
            <w:pPr>
              <w:pStyle w:val="93"/>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岷江犍为县月波控制单元YS5111233210015</w:t>
            </w:r>
          </w:p>
        </w:tc>
        <w:tc>
          <w:tcPr>
            <w:tcW w:w="6530" w:type="dxa"/>
            <w:vMerge w:val="restart"/>
            <w:tcBorders>
              <w:tl2br w:val="nil"/>
              <w:tr2bl w:val="nil"/>
            </w:tcBorders>
            <w:noWrap w:val="0"/>
            <w:vAlign w:val="top"/>
          </w:tcPr>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空间布局约束：</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禁止开发建设活动的要求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限制开发建设活动的要求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不符合空间布局要求活动的退出要求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其他空间布局约束要求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污染物排放管控：</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允许排放量要求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现有源提标升级改造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其他污染物排放管控要求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环境风险防控：</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联防联控要求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其他环境风险防控要求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资源开发利用效率要求：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水资源利用总量要求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地下水开采要求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能源利用总量及效率要求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禁燃区要求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2"/>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其他资源利用效率要求</w:t>
            </w:r>
          </w:p>
          <w:p>
            <w:pPr>
              <w:pStyle w:val="9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Style w:val="32"/>
                <w:rFonts w:hint="default" w:ascii="Times New Roman" w:hAnsi="Times New Roman" w:eastAsia="宋体" w:cs="Times New Roman"/>
                <w:color w:val="auto"/>
                <w:kern w:val="0"/>
                <w:sz w:val="20"/>
                <w:szCs w:val="20"/>
                <w:lang w:val="en-US" w:eastAsia="zh-CN" w:bidi="ar-SA"/>
              </w:rPr>
              <w:t>暂无</w:t>
            </w:r>
          </w:p>
        </w:tc>
        <w:tc>
          <w:tcPr>
            <w:tcW w:w="668" w:type="dxa"/>
            <w:tcBorders>
              <w:tl2br w:val="nil"/>
              <w:tr2bl w:val="nil"/>
            </w:tcBorders>
            <w:noWrap w:val="0"/>
            <w:vAlign w:val="center"/>
          </w:tcPr>
          <w:p>
            <w:pPr>
              <w:pStyle w:val="93"/>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空间布局约束</w:t>
            </w:r>
          </w:p>
        </w:tc>
        <w:tc>
          <w:tcPr>
            <w:tcW w:w="3327" w:type="dxa"/>
            <w:tcBorders>
              <w:tl2br w:val="nil"/>
              <w:tr2bl w:val="nil"/>
            </w:tcBorders>
            <w:noWrap w:val="0"/>
            <w:vAlign w:val="center"/>
          </w:tcPr>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禁止开发建设活动的要求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限制开发建设活动的要求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允许开发建设活动的要求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不符合空间布局要求活动的退出要求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其他空间布局约束要求</w:t>
            </w:r>
          </w:p>
        </w:tc>
        <w:tc>
          <w:tcPr>
            <w:tcW w:w="124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highlight w:val="none"/>
                <w:shd w:val="clear" w:color="auto" w:fill="auto"/>
                <w:lang w:val="en-US" w:eastAsia="zh-CN" w:bidi="ar"/>
              </w:rPr>
            </w:pPr>
            <w:r>
              <w:rPr>
                <w:rFonts w:hint="default" w:ascii="Times New Roman" w:hAnsi="Times New Roman" w:eastAsia="宋体" w:cs="Times New Roman"/>
                <w:color w:val="auto"/>
                <w:kern w:val="0"/>
                <w:sz w:val="20"/>
                <w:szCs w:val="20"/>
                <w:highlight w:val="none"/>
                <w:shd w:val="clear" w:color="auto" w:fill="auto"/>
                <w:lang w:val="en-US" w:eastAsia="zh-CN" w:bidi="ar"/>
              </w:rPr>
              <w:t>/</w:t>
            </w: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0"/>
                <w:szCs w:val="20"/>
                <w:vertAlign w:val="baseline"/>
              </w:rPr>
            </w:pPr>
            <w:r>
              <w:rPr>
                <w:rStyle w:val="32"/>
                <w:rFonts w:hint="default" w:ascii="Times New Roman" w:hAnsi="Times New Roman" w:eastAsia="宋体" w:cs="Times New Roman"/>
                <w:color w:val="auto"/>
                <w:kern w:val="2"/>
                <w:sz w:val="20"/>
                <w:szCs w:val="20"/>
                <w:lang w:val="en-US" w:eastAsia="zh-CN" w:bidi="ar-SA"/>
              </w:rPr>
              <w:t>乐山市犍为县大气环境布局敏感重点管控区YS5111232320001</w:t>
            </w:r>
          </w:p>
        </w:tc>
        <w:tc>
          <w:tcPr>
            <w:tcW w:w="653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0"/>
                <w:szCs w:val="20"/>
                <w:vertAlign w:val="baseline"/>
              </w:rPr>
            </w:pPr>
          </w:p>
        </w:tc>
        <w:tc>
          <w:tcPr>
            <w:tcW w:w="668" w:type="dxa"/>
            <w:tcBorders>
              <w:tl2br w:val="nil"/>
              <w:tr2bl w:val="nil"/>
            </w:tcBorders>
            <w:noWrap w:val="0"/>
            <w:vAlign w:val="center"/>
          </w:tcPr>
          <w:p>
            <w:pPr>
              <w:pStyle w:val="93"/>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污染物排放管控</w:t>
            </w:r>
          </w:p>
        </w:tc>
        <w:tc>
          <w:tcPr>
            <w:tcW w:w="3327" w:type="dxa"/>
            <w:tcBorders>
              <w:tl2br w:val="nil"/>
              <w:tr2bl w:val="nil"/>
            </w:tcBorders>
            <w:noWrap w:val="0"/>
            <w:vAlign w:val="center"/>
          </w:tcPr>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城镇污水污染控制措施要求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工业废水污染控制措施要求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农业面源水污染控制措施要求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合理布局畜禽养殖规模，单位面积耕地的畜禽承载力不突破《四川省畜禽养殖污染防治技术指南》要求；强化畜禽养殖场污染治理，提高养殖粪污资源化利用率。</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船舶港口水污染控制措施要求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饮用水水源和其它特殊水体保护要求</w:t>
            </w:r>
          </w:p>
        </w:tc>
        <w:tc>
          <w:tcPr>
            <w:tcW w:w="124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highlight w:val="none"/>
                <w:shd w:val="clear" w:color="auto" w:fill="auto"/>
                <w:lang w:val="en-US" w:eastAsia="zh-CN" w:bidi="ar"/>
              </w:rPr>
            </w:pPr>
            <w:r>
              <w:rPr>
                <w:rFonts w:hint="default" w:ascii="Times New Roman" w:hAnsi="Times New Roman" w:eastAsia="宋体" w:cs="Times New Roman"/>
                <w:color w:val="auto"/>
                <w:kern w:val="0"/>
                <w:sz w:val="20"/>
                <w:szCs w:val="20"/>
                <w:highlight w:val="none"/>
                <w:shd w:val="clear" w:color="auto" w:fill="auto"/>
                <w:lang w:val="en-US" w:eastAsia="zh-CN" w:bidi="ar"/>
              </w:rPr>
              <w:t>/</w:t>
            </w: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vMerge w:val="continue"/>
            <w:tcBorders>
              <w:tl2br w:val="nil"/>
              <w:tr2bl w:val="nil"/>
            </w:tcBorders>
            <w:noWrap w:val="0"/>
            <w:vAlign w:val="center"/>
          </w:tcPr>
          <w:p>
            <w:pPr>
              <w:keepNext w:val="0"/>
              <w:keepLines w:val="0"/>
              <w:widowControl/>
              <w:suppressLineNumbers w:val="0"/>
              <w:jc w:val="center"/>
              <w:rPr>
                <w:rStyle w:val="32"/>
                <w:rFonts w:hint="default" w:ascii="Times New Roman" w:hAnsi="Times New Roman" w:eastAsia="宋体" w:cs="Times New Roman"/>
                <w:color w:val="auto"/>
                <w:kern w:val="2"/>
                <w:sz w:val="20"/>
                <w:szCs w:val="20"/>
                <w:lang w:val="en-US" w:eastAsia="zh-CN" w:bidi="ar-SA"/>
              </w:rPr>
            </w:pPr>
          </w:p>
        </w:tc>
        <w:tc>
          <w:tcPr>
            <w:tcW w:w="653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68" w:type="dxa"/>
            <w:tcBorders>
              <w:tl2br w:val="nil"/>
              <w:tr2bl w:val="nil"/>
            </w:tcBorders>
            <w:noWrap w:val="0"/>
            <w:vAlign w:val="center"/>
          </w:tcPr>
          <w:p>
            <w:pPr>
              <w:pStyle w:val="9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环境风险防控</w:t>
            </w:r>
          </w:p>
        </w:tc>
        <w:tc>
          <w:tcPr>
            <w:tcW w:w="3327" w:type="dxa"/>
            <w:vMerge w:val="restart"/>
            <w:tcBorders>
              <w:tl2br w:val="nil"/>
              <w:tr2bl w:val="nil"/>
            </w:tcBorders>
            <w:noWrap w:val="0"/>
            <w:vAlign w:val="center"/>
          </w:tcPr>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w:t>
            </w:r>
          </w:p>
        </w:tc>
        <w:tc>
          <w:tcPr>
            <w:tcW w:w="124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highlight w:val="none"/>
                <w:shd w:val="clear" w:color="auto" w:fill="auto"/>
                <w:lang w:val="en-US" w:eastAsia="zh-CN" w:bidi="ar"/>
              </w:rPr>
            </w:pPr>
            <w:r>
              <w:rPr>
                <w:rFonts w:hint="default" w:ascii="Times New Roman" w:hAnsi="Times New Roman" w:eastAsia="宋体" w:cs="Times New Roman"/>
                <w:color w:val="auto"/>
                <w:kern w:val="0"/>
                <w:sz w:val="20"/>
                <w:szCs w:val="20"/>
                <w:highlight w:val="none"/>
                <w:shd w:val="clear" w:color="auto" w:fill="auto"/>
                <w:lang w:val="en-US" w:eastAsia="zh-CN" w:bidi="ar"/>
              </w:rPr>
              <w:t>/</w:t>
            </w: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vMerge w:val="continue"/>
            <w:tcBorders>
              <w:tl2br w:val="nil"/>
              <w:tr2bl w:val="nil"/>
            </w:tcBorders>
            <w:noWrap w:val="0"/>
            <w:vAlign w:val="center"/>
          </w:tcPr>
          <w:p>
            <w:pPr>
              <w:keepNext w:val="0"/>
              <w:keepLines w:val="0"/>
              <w:widowControl/>
              <w:suppressLineNumbers w:val="0"/>
              <w:jc w:val="center"/>
              <w:rPr>
                <w:rStyle w:val="32"/>
                <w:rFonts w:hint="default" w:ascii="Times New Roman" w:hAnsi="Times New Roman" w:eastAsia="宋体" w:cs="Times New Roman"/>
                <w:color w:val="auto"/>
                <w:kern w:val="2"/>
                <w:sz w:val="20"/>
                <w:szCs w:val="20"/>
                <w:lang w:val="en-US" w:eastAsia="zh-CN" w:bidi="ar-SA"/>
              </w:rPr>
            </w:pPr>
          </w:p>
        </w:tc>
        <w:tc>
          <w:tcPr>
            <w:tcW w:w="653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68" w:type="dxa"/>
            <w:tcBorders>
              <w:tl2br w:val="nil"/>
              <w:tr2bl w:val="nil"/>
            </w:tcBorders>
            <w:noWrap w:val="0"/>
            <w:vAlign w:val="center"/>
          </w:tcPr>
          <w:p>
            <w:pPr>
              <w:pStyle w:val="9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资源开发效率要求</w:t>
            </w:r>
          </w:p>
        </w:tc>
        <w:tc>
          <w:tcPr>
            <w:tcW w:w="3327" w:type="dxa"/>
            <w:vMerge w:val="continue"/>
            <w:tcBorders>
              <w:tl2br w:val="nil"/>
              <w:tr2bl w:val="nil"/>
            </w:tcBorders>
            <w:noWrap w:val="0"/>
            <w:vAlign w:val="center"/>
          </w:tcPr>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2"/>
                <w:rFonts w:hint="default" w:ascii="Times New Roman" w:hAnsi="Times New Roman" w:eastAsia="宋体" w:cs="Times New Roman"/>
                <w:color w:val="auto"/>
                <w:kern w:val="2"/>
                <w:sz w:val="20"/>
                <w:szCs w:val="20"/>
                <w:lang w:val="en-US" w:eastAsia="zh-CN" w:bidi="ar-SA"/>
              </w:rPr>
            </w:pPr>
          </w:p>
        </w:tc>
        <w:tc>
          <w:tcPr>
            <w:tcW w:w="124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highlight w:val="none"/>
                <w:shd w:val="clear" w:color="auto" w:fill="auto"/>
                <w:lang w:val="en-US" w:eastAsia="zh-CN" w:bidi="ar"/>
              </w:rPr>
            </w:pPr>
            <w:r>
              <w:rPr>
                <w:rFonts w:hint="default" w:ascii="Times New Roman" w:hAnsi="Times New Roman" w:eastAsia="宋体" w:cs="Times New Roman"/>
                <w:color w:val="auto"/>
                <w:kern w:val="0"/>
                <w:sz w:val="20"/>
                <w:szCs w:val="20"/>
                <w:highlight w:val="none"/>
                <w:shd w:val="clear" w:color="auto" w:fill="auto"/>
                <w:lang w:val="en-US" w:eastAsia="zh-CN" w:bidi="ar"/>
              </w:rPr>
              <w:t>/</w:t>
            </w: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vMerge w:val="continue"/>
            <w:tcBorders>
              <w:tl2br w:val="nil"/>
              <w:tr2bl w:val="nil"/>
            </w:tcBorders>
            <w:noWrap w:val="0"/>
            <w:vAlign w:val="center"/>
          </w:tcPr>
          <w:p>
            <w:pPr>
              <w:keepNext w:val="0"/>
              <w:keepLines w:val="0"/>
              <w:widowControl/>
              <w:suppressLineNumbers w:val="0"/>
              <w:jc w:val="center"/>
              <w:rPr>
                <w:rStyle w:val="32"/>
                <w:rFonts w:hint="default" w:ascii="Times New Roman" w:hAnsi="Times New Roman" w:eastAsia="宋体" w:cs="Times New Roman"/>
                <w:color w:val="auto"/>
                <w:kern w:val="2"/>
                <w:sz w:val="20"/>
                <w:szCs w:val="20"/>
                <w:lang w:val="en-US" w:eastAsia="zh-CN" w:bidi="ar-SA"/>
              </w:rPr>
            </w:pPr>
          </w:p>
        </w:tc>
        <w:tc>
          <w:tcPr>
            <w:tcW w:w="653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68" w:type="dxa"/>
            <w:tcBorders>
              <w:tl2br w:val="nil"/>
              <w:tr2bl w:val="nil"/>
            </w:tcBorders>
            <w:noWrap w:val="0"/>
            <w:vAlign w:val="center"/>
          </w:tcPr>
          <w:p>
            <w:pPr>
              <w:pStyle w:val="9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空间布局约束</w:t>
            </w:r>
          </w:p>
        </w:tc>
        <w:tc>
          <w:tcPr>
            <w:tcW w:w="3327" w:type="dxa"/>
            <w:tcBorders>
              <w:tl2br w:val="nil"/>
              <w:tr2bl w:val="nil"/>
            </w:tcBorders>
            <w:noWrap w:val="0"/>
            <w:vAlign w:val="center"/>
          </w:tcPr>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禁止开发建设活动的要求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限制开发建设活动的要求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允许开发建设活动的要求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不符合空间布局要求活动的退出要求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其他空间布局约束要求</w:t>
            </w:r>
          </w:p>
        </w:tc>
        <w:tc>
          <w:tcPr>
            <w:tcW w:w="124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highlight w:val="none"/>
                <w:shd w:val="clear" w:color="auto" w:fill="auto"/>
                <w:lang w:val="en-US" w:eastAsia="zh-CN" w:bidi="ar"/>
              </w:rPr>
            </w:pPr>
            <w:r>
              <w:rPr>
                <w:rFonts w:hint="default" w:ascii="Times New Roman" w:hAnsi="Times New Roman" w:eastAsia="宋体" w:cs="Times New Roman"/>
                <w:color w:val="auto"/>
                <w:kern w:val="0"/>
                <w:sz w:val="20"/>
                <w:szCs w:val="20"/>
                <w:highlight w:val="none"/>
                <w:shd w:val="clear" w:color="auto" w:fill="auto"/>
                <w:lang w:val="en-US" w:eastAsia="zh-CN" w:bidi="ar"/>
              </w:rPr>
              <w:t>/</w:t>
            </w: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vMerge w:val="continue"/>
            <w:tcBorders>
              <w:tl2br w:val="nil"/>
              <w:tr2bl w:val="nil"/>
            </w:tcBorders>
            <w:noWrap w:val="0"/>
            <w:vAlign w:val="center"/>
          </w:tcPr>
          <w:p>
            <w:pPr>
              <w:keepNext w:val="0"/>
              <w:keepLines w:val="0"/>
              <w:widowControl/>
              <w:suppressLineNumbers w:val="0"/>
              <w:jc w:val="center"/>
              <w:rPr>
                <w:rStyle w:val="32"/>
                <w:rFonts w:hint="default" w:ascii="Times New Roman" w:hAnsi="Times New Roman" w:eastAsia="宋体" w:cs="Times New Roman"/>
                <w:color w:val="auto"/>
                <w:kern w:val="2"/>
                <w:sz w:val="20"/>
                <w:szCs w:val="20"/>
                <w:lang w:val="en-US" w:eastAsia="zh-CN" w:bidi="ar-SA"/>
              </w:rPr>
            </w:pPr>
          </w:p>
        </w:tc>
        <w:tc>
          <w:tcPr>
            <w:tcW w:w="653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68" w:type="dxa"/>
            <w:tcBorders>
              <w:tl2br w:val="nil"/>
              <w:tr2bl w:val="nil"/>
            </w:tcBorders>
            <w:noWrap w:val="0"/>
            <w:vAlign w:val="center"/>
          </w:tcPr>
          <w:p>
            <w:pPr>
              <w:pStyle w:val="9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污染物排放管控</w:t>
            </w:r>
          </w:p>
        </w:tc>
        <w:tc>
          <w:tcPr>
            <w:tcW w:w="3327" w:type="dxa"/>
            <w:tcBorders>
              <w:tl2br w:val="nil"/>
              <w:tr2bl w:val="nil"/>
            </w:tcBorders>
            <w:noWrap w:val="0"/>
            <w:vAlign w:val="center"/>
          </w:tcPr>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大气环境质量执行标准《环境空气质量标准》（GB3095-2012）：二级</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区域大气污染物削减/替代要求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新增大气污染物排放的建设项目实施总量削减替代。</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燃煤和其他能源大气污染控制要求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工业废气污染控制要求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机动车船大气污染控制要求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扬尘污染控制要求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农业生产经营活动大气污染控制要求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重点行业企业专项治理要求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其他大气污染物排放管控要求</w:t>
            </w:r>
          </w:p>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禁止新建高污染项目，新上涉及大气污染物排放的项目必须采用国际领先、国内一流的清洁生产技术。把能源消耗与污染物排放总量指标作为环评审批的前置条件，对新建排放二氧化硫、氮氧化物、工业烟粉尘和挥发性有机物的项目实施现役源2倍削减量替代。提高挥发性有机物污染企业环境准入门槛。对涉VOCs新建项目进行严格把关，要求各类涉VOCs的建设项目在设计、建设中使用国际领先、国内一流的清洁生产和密闭化工艺。</w:t>
            </w:r>
          </w:p>
        </w:tc>
        <w:tc>
          <w:tcPr>
            <w:tcW w:w="1248" w:type="dxa"/>
            <w:tcBorders>
              <w:tl2br w:val="nil"/>
              <w:tr2bl w:val="nil"/>
            </w:tcBorders>
            <w:noWrap w:val="0"/>
            <w:vAlign w:val="center"/>
          </w:tcPr>
          <w:p>
            <w:pPr>
              <w:pStyle w:val="93"/>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项目所在</w:t>
            </w:r>
            <w:r>
              <w:rPr>
                <w:rStyle w:val="32"/>
                <w:rFonts w:hint="eastAsia" w:ascii="Times New Roman" w:hAnsi="Times New Roman" w:eastAsia="宋体" w:cs="Times New Roman"/>
                <w:color w:val="auto"/>
                <w:kern w:val="2"/>
                <w:sz w:val="20"/>
                <w:szCs w:val="20"/>
                <w:lang w:val="en-US" w:eastAsia="zh-CN" w:bidi="ar-SA"/>
              </w:rPr>
              <w:t>区域</w:t>
            </w:r>
            <w:r>
              <w:rPr>
                <w:rStyle w:val="32"/>
                <w:rFonts w:hint="default" w:ascii="Times New Roman" w:hAnsi="Times New Roman" w:eastAsia="宋体" w:cs="Times New Roman"/>
                <w:color w:val="auto"/>
                <w:kern w:val="2"/>
                <w:sz w:val="20"/>
                <w:szCs w:val="20"/>
                <w:lang w:val="en-US" w:eastAsia="zh-CN" w:bidi="ar-SA"/>
              </w:rPr>
              <w:t>大气环境质量能够满足《环境空气质量标准》（GB3095-2012）二级标准；无新增大气污染物排放。</w:t>
            </w:r>
          </w:p>
          <w:p>
            <w:pPr>
              <w:keepNext w:val="0"/>
              <w:keepLines w:val="0"/>
              <w:widowControl/>
              <w:suppressLineNumbers w:val="0"/>
              <w:jc w:val="center"/>
              <w:rPr>
                <w:rFonts w:hint="default" w:ascii="Times New Roman" w:hAnsi="Times New Roman" w:eastAsia="宋体" w:cs="Times New Roman"/>
                <w:color w:val="auto"/>
                <w:kern w:val="0"/>
                <w:sz w:val="20"/>
                <w:szCs w:val="20"/>
                <w:highlight w:val="none"/>
                <w:shd w:val="clear" w:color="auto" w:fill="auto"/>
                <w:lang w:val="en-US" w:eastAsia="zh-CN" w:bidi="ar"/>
              </w:rPr>
            </w:pP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vMerge w:val="continue"/>
            <w:tcBorders>
              <w:tl2br w:val="nil"/>
              <w:tr2bl w:val="nil"/>
            </w:tcBorders>
            <w:noWrap w:val="0"/>
            <w:vAlign w:val="center"/>
          </w:tcPr>
          <w:p>
            <w:pPr>
              <w:keepNext w:val="0"/>
              <w:keepLines w:val="0"/>
              <w:widowControl/>
              <w:suppressLineNumbers w:val="0"/>
              <w:jc w:val="center"/>
              <w:rPr>
                <w:rStyle w:val="32"/>
                <w:rFonts w:hint="default" w:ascii="Times New Roman" w:hAnsi="Times New Roman" w:eastAsia="宋体" w:cs="Times New Roman"/>
                <w:color w:val="auto"/>
                <w:kern w:val="2"/>
                <w:sz w:val="20"/>
                <w:szCs w:val="20"/>
                <w:lang w:val="en-US" w:eastAsia="zh-CN" w:bidi="ar-SA"/>
              </w:rPr>
            </w:pPr>
          </w:p>
        </w:tc>
        <w:tc>
          <w:tcPr>
            <w:tcW w:w="653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68" w:type="dxa"/>
            <w:tcBorders>
              <w:tl2br w:val="nil"/>
              <w:tr2bl w:val="nil"/>
            </w:tcBorders>
            <w:noWrap w:val="0"/>
            <w:vAlign w:val="center"/>
          </w:tcPr>
          <w:p>
            <w:pPr>
              <w:pStyle w:val="93"/>
              <w:widowControl/>
              <w:spacing w:line="240" w:lineRule="auto"/>
              <w:ind w:firstLine="0" w:firstLineChars="0"/>
              <w:jc w:val="center"/>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环境风险防控</w:t>
            </w:r>
          </w:p>
        </w:tc>
        <w:tc>
          <w:tcPr>
            <w:tcW w:w="3327" w:type="dxa"/>
            <w:vMerge w:val="restart"/>
            <w:tcBorders>
              <w:tl2br w:val="nil"/>
              <w:tr2bl w:val="nil"/>
            </w:tcBorders>
            <w:noWrap w:val="0"/>
            <w:vAlign w:val="center"/>
          </w:tcPr>
          <w:p>
            <w:pPr>
              <w:pStyle w:val="93"/>
              <w:widowControl/>
              <w:shd w:val="clear" w:color="auto" w:fill="FFFFFF"/>
              <w:spacing w:line="240" w:lineRule="auto"/>
              <w:ind w:firstLine="0" w:firstLineChars="0"/>
              <w:jc w:val="center"/>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w:t>
            </w:r>
          </w:p>
        </w:tc>
        <w:tc>
          <w:tcPr>
            <w:tcW w:w="124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highlight w:val="none"/>
                <w:shd w:val="clear" w:color="auto" w:fill="auto"/>
                <w:lang w:val="en-US" w:eastAsia="zh-CN" w:bidi="ar"/>
              </w:rPr>
            </w:pPr>
            <w:r>
              <w:rPr>
                <w:rFonts w:hint="default" w:ascii="Times New Roman" w:hAnsi="Times New Roman" w:eastAsia="宋体" w:cs="Times New Roman"/>
                <w:color w:val="auto"/>
                <w:kern w:val="0"/>
                <w:sz w:val="20"/>
                <w:szCs w:val="20"/>
                <w:highlight w:val="none"/>
                <w:shd w:val="clear" w:color="auto" w:fill="auto"/>
                <w:lang w:val="en-US" w:eastAsia="zh-CN" w:bidi="ar"/>
              </w:rPr>
              <w:t>/</w:t>
            </w: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034" w:type="dxa"/>
            <w:vMerge w:val="continue"/>
            <w:tcBorders>
              <w:tl2br w:val="nil"/>
              <w:tr2bl w:val="nil"/>
            </w:tcBorders>
            <w:noWrap w:val="0"/>
            <w:vAlign w:val="center"/>
          </w:tcPr>
          <w:p>
            <w:pPr>
              <w:keepNext w:val="0"/>
              <w:keepLines w:val="0"/>
              <w:widowControl/>
              <w:suppressLineNumbers w:val="0"/>
              <w:jc w:val="center"/>
              <w:rPr>
                <w:rStyle w:val="32"/>
                <w:rFonts w:hint="default" w:ascii="Times New Roman" w:hAnsi="Times New Roman" w:eastAsia="宋体" w:cs="Times New Roman"/>
                <w:color w:val="auto"/>
                <w:kern w:val="2"/>
                <w:sz w:val="20"/>
                <w:szCs w:val="20"/>
                <w:lang w:val="en-US" w:eastAsia="zh-CN" w:bidi="ar-SA"/>
              </w:rPr>
            </w:pPr>
          </w:p>
        </w:tc>
        <w:tc>
          <w:tcPr>
            <w:tcW w:w="653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0"/>
                <w:szCs w:val="20"/>
                <w:vertAlign w:val="baseline"/>
              </w:rPr>
            </w:pPr>
          </w:p>
        </w:tc>
        <w:tc>
          <w:tcPr>
            <w:tcW w:w="668" w:type="dxa"/>
            <w:tcBorders>
              <w:tl2br w:val="nil"/>
              <w:tr2bl w:val="nil"/>
            </w:tcBorders>
            <w:noWrap w:val="0"/>
            <w:vAlign w:val="center"/>
          </w:tcPr>
          <w:p>
            <w:pPr>
              <w:pStyle w:val="93"/>
              <w:widowControl/>
              <w:spacing w:line="240" w:lineRule="auto"/>
              <w:ind w:firstLine="0" w:firstLineChars="0"/>
              <w:jc w:val="center"/>
              <w:rPr>
                <w:rStyle w:val="32"/>
                <w:rFonts w:hint="default" w:ascii="Times New Roman" w:hAnsi="Times New Roman" w:eastAsia="宋体" w:cs="Times New Roman"/>
                <w:color w:val="auto"/>
                <w:kern w:val="2"/>
                <w:sz w:val="20"/>
                <w:szCs w:val="20"/>
                <w:lang w:val="en-US" w:eastAsia="zh-CN" w:bidi="ar-SA"/>
              </w:rPr>
            </w:pPr>
            <w:r>
              <w:rPr>
                <w:rStyle w:val="32"/>
                <w:rFonts w:hint="default" w:ascii="Times New Roman" w:hAnsi="Times New Roman" w:eastAsia="宋体" w:cs="Times New Roman"/>
                <w:color w:val="auto"/>
                <w:kern w:val="2"/>
                <w:sz w:val="20"/>
                <w:szCs w:val="20"/>
                <w:lang w:val="en-US" w:eastAsia="zh-CN" w:bidi="ar-SA"/>
              </w:rPr>
              <w:t>资源开发效率要求</w:t>
            </w:r>
          </w:p>
        </w:tc>
        <w:tc>
          <w:tcPr>
            <w:tcW w:w="3327" w:type="dxa"/>
            <w:vMerge w:val="continue"/>
            <w:tcBorders>
              <w:tl2br w:val="nil"/>
              <w:tr2bl w:val="nil"/>
            </w:tcBorders>
            <w:noWrap w:val="0"/>
            <w:vAlign w:val="center"/>
          </w:tcPr>
          <w:p>
            <w:pPr>
              <w:pStyle w:val="93"/>
              <w:widowControl/>
              <w:shd w:val="clear" w:color="auto" w:fill="FFFFFF"/>
              <w:spacing w:line="240" w:lineRule="auto"/>
              <w:ind w:firstLine="0" w:firstLineChars="0"/>
              <w:jc w:val="center"/>
              <w:rPr>
                <w:rStyle w:val="32"/>
                <w:rFonts w:hint="default" w:ascii="Times New Roman" w:hAnsi="Times New Roman" w:eastAsia="宋体" w:cs="Times New Roman"/>
                <w:color w:val="auto"/>
                <w:kern w:val="2"/>
                <w:sz w:val="20"/>
                <w:szCs w:val="20"/>
                <w:lang w:val="en-US" w:eastAsia="zh-CN" w:bidi="ar-SA"/>
              </w:rPr>
            </w:pPr>
          </w:p>
        </w:tc>
        <w:tc>
          <w:tcPr>
            <w:tcW w:w="124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highlight w:val="none"/>
                <w:shd w:val="clear" w:color="auto" w:fill="auto"/>
                <w:lang w:val="en-US" w:eastAsia="zh-CN" w:bidi="ar"/>
              </w:rPr>
            </w:pPr>
            <w:r>
              <w:rPr>
                <w:rFonts w:hint="default" w:ascii="Times New Roman" w:hAnsi="Times New Roman" w:eastAsia="宋体" w:cs="Times New Roman"/>
                <w:color w:val="auto"/>
                <w:kern w:val="0"/>
                <w:sz w:val="20"/>
                <w:szCs w:val="20"/>
                <w:highlight w:val="none"/>
                <w:shd w:val="clear" w:color="auto" w:fill="auto"/>
                <w:lang w:val="en-US" w:eastAsia="zh-CN" w:bidi="ar"/>
              </w:rPr>
              <w:t>/</w:t>
            </w:r>
          </w:p>
        </w:tc>
        <w:tc>
          <w:tcPr>
            <w:tcW w:w="84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符合</w:t>
            </w:r>
          </w:p>
        </w:tc>
      </w:tr>
    </w:tbl>
    <w:p>
      <w:pPr>
        <w:pStyle w:val="29"/>
        <w:rPr>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noWrap w:val="0"/>
            <w:vAlign w:val="top"/>
          </w:tcPr>
          <w:p>
            <w:pPr>
              <w:rPr>
                <w:color w:val="auto"/>
                <w:vertAlign w:val="baseline"/>
              </w:rPr>
            </w:pPr>
          </w:p>
        </w:tc>
        <w:tc>
          <w:tcPr>
            <w:tcW w:w="8418" w:type="dxa"/>
            <w:noWrap w:val="0"/>
            <w:vAlign w:val="top"/>
          </w:tcPr>
          <w:p>
            <w:pPr>
              <w:autoSpaceDE w:val="0"/>
              <w:autoSpaceDN w:val="0"/>
              <w:spacing w:line="360" w:lineRule="auto"/>
              <w:ind w:firstLine="482" w:firstLineChars="200"/>
              <w:rPr>
                <w:rFonts w:ascii="Times New Roman" w:hAnsi="Times New Roman"/>
                <w:b/>
                <w:color w:val="auto"/>
                <w:sz w:val="24"/>
                <w:szCs w:val="32"/>
              </w:rPr>
            </w:pPr>
            <w:r>
              <w:rPr>
                <w:rFonts w:hint="eastAsia" w:ascii="宋体" w:hAnsi="宋体"/>
                <w:b/>
                <w:color w:val="auto"/>
                <w:sz w:val="24"/>
                <w:szCs w:val="32"/>
                <w:lang w:val="en-US" w:eastAsia="zh-CN"/>
              </w:rPr>
              <w:t>二、</w:t>
            </w:r>
            <w:r>
              <w:rPr>
                <w:rFonts w:ascii="宋体" w:hAnsi="宋体"/>
                <w:b/>
                <w:color w:val="auto"/>
                <w:sz w:val="24"/>
                <w:szCs w:val="32"/>
              </w:rPr>
              <w:t>与《乐山市人民政府关于落实生态保护红线、环境质量底线、资源利用上线制定生态环境准入清单实施生态环境分区管控的通知》符合性分析</w:t>
            </w:r>
          </w:p>
          <w:p>
            <w:pPr>
              <w:pStyle w:val="49"/>
              <w:autoSpaceDE w:val="0"/>
              <w:spacing w:line="360" w:lineRule="auto"/>
              <w:ind w:firstLine="480" w:firstLineChars="200"/>
              <w:rPr>
                <w:rFonts w:ascii="宋体" w:hAnsi="宋体" w:cs="宋体"/>
                <w:color w:val="auto"/>
                <w:sz w:val="24"/>
                <w:szCs w:val="32"/>
              </w:rPr>
            </w:pPr>
            <w:r>
              <w:rPr>
                <w:rFonts w:hint="eastAsia"/>
                <w:color w:val="auto"/>
                <w:sz w:val="24"/>
                <w:szCs w:val="32"/>
              </w:rPr>
              <w:t>本项目与乐山生态分区管控符合性详述如下：</w:t>
            </w:r>
          </w:p>
          <w:p>
            <w:pPr>
              <w:pStyle w:val="49"/>
              <w:autoSpaceDE w:val="0"/>
              <w:spacing w:line="240" w:lineRule="auto"/>
              <w:ind w:firstLine="422" w:firstLineChars="200"/>
              <w:jc w:val="center"/>
              <w:rPr>
                <w:rFonts w:hint="eastAsia"/>
                <w:color w:val="auto"/>
              </w:rPr>
            </w:pPr>
            <w:r>
              <w:rPr>
                <w:rFonts w:hint="eastAsia"/>
                <w:b/>
                <w:color w:val="auto"/>
              </w:rPr>
              <w:t xml:space="preserve">表 </w:t>
            </w:r>
            <w:r>
              <w:rPr>
                <w:rFonts w:ascii="Times New Roman" w:hAnsi="Times New Roman"/>
                <w:b/>
                <w:color w:val="auto"/>
              </w:rPr>
              <w:t>1</w:t>
            </w:r>
            <w:r>
              <w:rPr>
                <w:rFonts w:hint="eastAsia" w:ascii="Times New Roman" w:hAnsi="Times New Roman"/>
                <w:b/>
                <w:color w:val="auto"/>
              </w:rPr>
              <w:t>-</w:t>
            </w:r>
            <w:r>
              <w:rPr>
                <w:rFonts w:hint="eastAsia" w:ascii="Times New Roman" w:hAnsi="Times New Roman"/>
                <w:b/>
                <w:color w:val="auto"/>
                <w:lang w:val="en-US" w:eastAsia="zh-CN"/>
              </w:rPr>
              <w:t>3</w:t>
            </w:r>
            <w:r>
              <w:rPr>
                <w:rFonts w:ascii="Times New Roman" w:hAnsi="Times New Roman"/>
                <w:b/>
                <w:color w:val="auto"/>
              </w:rPr>
              <w:t xml:space="preserve"> </w:t>
            </w:r>
            <w:r>
              <w:rPr>
                <w:rFonts w:hint="eastAsia"/>
                <w:b/>
                <w:color w:val="auto"/>
              </w:rPr>
              <w:t>本项目与乐山市</w:t>
            </w:r>
            <w:r>
              <w:rPr>
                <w:rFonts w:ascii="Times New Roman" w:hAnsi="Times New Roman"/>
                <w:b/>
                <w:color w:val="auto"/>
              </w:rPr>
              <w:t>“</w:t>
            </w:r>
            <w:r>
              <w:rPr>
                <w:rFonts w:hint="eastAsia"/>
                <w:b/>
                <w:color w:val="auto"/>
              </w:rPr>
              <w:t>三线一单</w:t>
            </w:r>
            <w:r>
              <w:rPr>
                <w:rFonts w:ascii="Times New Roman" w:hAnsi="Times New Roman"/>
                <w:b/>
                <w:color w:val="auto"/>
              </w:rPr>
              <w:t>”</w:t>
            </w:r>
            <w:r>
              <w:rPr>
                <w:rFonts w:hint="eastAsia"/>
                <w:b/>
                <w:color w:val="auto"/>
              </w:rPr>
              <w:t>符合性分析</w:t>
            </w:r>
          </w:p>
          <w:tbl>
            <w:tblPr>
              <w:tblStyle w:val="3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54"/>
              <w:gridCol w:w="4288"/>
              <w:gridCol w:w="2561"/>
              <w:gridCol w:w="6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399" w:type="pct"/>
                  <w:tcBorders>
                    <w:top w:val="single" w:color="000000" w:sz="12" w:space="0"/>
                    <w:left w:val="nil"/>
                    <w:bottom w:val="single" w:color="000000" w:sz="4" w:space="0"/>
                    <w:right w:val="single" w:color="000000" w:sz="4" w:space="0"/>
                  </w:tcBorders>
                  <w:shd w:val="clear" w:color="auto" w:fill="DCE6F2"/>
                  <w:noWrap w:val="0"/>
                  <w:vAlign w:val="center"/>
                </w:tcPr>
                <w:p>
                  <w:pPr>
                    <w:pStyle w:val="49"/>
                    <w:autoSpaceDE w:val="0"/>
                    <w:jc w:val="center"/>
                    <w:rPr>
                      <w:b/>
                      <w:color w:val="auto"/>
                    </w:rPr>
                  </w:pPr>
                  <w:r>
                    <w:rPr>
                      <w:b/>
                      <w:color w:val="auto"/>
                    </w:rPr>
                    <w:t>行政</w:t>
                  </w:r>
                </w:p>
                <w:p>
                  <w:pPr>
                    <w:pStyle w:val="49"/>
                    <w:autoSpaceDE w:val="0"/>
                    <w:jc w:val="center"/>
                    <w:rPr>
                      <w:rFonts w:hint="eastAsia" w:ascii="Times New Roman" w:hAnsi="Times New Roman"/>
                      <w:b/>
                      <w:color w:val="auto"/>
                    </w:rPr>
                  </w:pPr>
                  <w:r>
                    <w:rPr>
                      <w:b/>
                      <w:color w:val="auto"/>
                    </w:rPr>
                    <w:t>区域</w:t>
                  </w:r>
                </w:p>
              </w:tc>
              <w:tc>
                <w:tcPr>
                  <w:tcW w:w="2614" w:type="pct"/>
                  <w:tcBorders>
                    <w:top w:val="single" w:color="000000" w:sz="12" w:space="0"/>
                    <w:left w:val="single" w:color="000000" w:sz="4" w:space="0"/>
                    <w:bottom w:val="single" w:color="000000" w:sz="4" w:space="0"/>
                    <w:right w:val="single" w:color="000000" w:sz="4" w:space="0"/>
                  </w:tcBorders>
                  <w:shd w:val="clear" w:color="auto" w:fill="DCE6F2"/>
                  <w:noWrap w:val="0"/>
                  <w:vAlign w:val="center"/>
                </w:tcPr>
                <w:p>
                  <w:pPr>
                    <w:pStyle w:val="49"/>
                    <w:autoSpaceDE w:val="0"/>
                    <w:jc w:val="center"/>
                    <w:rPr>
                      <w:rFonts w:ascii="Times New Roman" w:hAnsi="Times New Roman"/>
                      <w:b/>
                      <w:color w:val="auto"/>
                    </w:rPr>
                  </w:pPr>
                  <w:r>
                    <w:rPr>
                      <w:b/>
                      <w:color w:val="auto"/>
                    </w:rPr>
                    <w:t>《乐府发</w:t>
                  </w:r>
                  <w:r>
                    <w:rPr>
                      <w:rFonts w:ascii="Times New Roman" w:hAnsi="Times New Roman"/>
                      <w:b/>
                      <w:color w:val="auto"/>
                    </w:rPr>
                    <w:t>[2021]7</w:t>
                  </w:r>
                  <w:r>
                    <w:rPr>
                      <w:rFonts w:ascii="Times New Roman" w:hAnsi="Times New Roman"/>
                      <w:b/>
                      <w:color w:val="auto"/>
                      <w:spacing w:val="-11"/>
                    </w:rPr>
                    <w:t xml:space="preserve"> </w:t>
                  </w:r>
                  <w:r>
                    <w:rPr>
                      <w:b/>
                      <w:color w:val="auto"/>
                      <w:spacing w:val="-16"/>
                    </w:rPr>
                    <w:t>号》全市各县</w:t>
                  </w:r>
                  <w:r>
                    <w:rPr>
                      <w:b/>
                      <w:color w:val="auto"/>
                    </w:rPr>
                    <w:t>（</w:t>
                  </w:r>
                  <w:r>
                    <w:rPr>
                      <w:b/>
                      <w:color w:val="auto"/>
                      <w:spacing w:val="-15"/>
                    </w:rPr>
                    <w:t>市、区</w:t>
                  </w:r>
                  <w:r>
                    <w:rPr>
                      <w:b/>
                      <w:color w:val="auto"/>
                    </w:rPr>
                    <w:t>）</w:t>
                  </w:r>
                  <w:r>
                    <w:rPr>
                      <w:rFonts w:hint="eastAsia"/>
                      <w:b/>
                      <w:color w:val="auto"/>
                    </w:rPr>
                    <w:t>总</w:t>
                  </w:r>
                  <w:r>
                    <w:rPr>
                      <w:b/>
                      <w:color w:val="auto"/>
                    </w:rPr>
                    <w:t>体生态环境管控要求</w:t>
                  </w:r>
                </w:p>
              </w:tc>
              <w:tc>
                <w:tcPr>
                  <w:tcW w:w="1561" w:type="pct"/>
                  <w:tcBorders>
                    <w:top w:val="single" w:color="000000" w:sz="12" w:space="0"/>
                    <w:left w:val="single" w:color="000000" w:sz="4" w:space="0"/>
                    <w:bottom w:val="single" w:color="000000" w:sz="4" w:space="0"/>
                    <w:right w:val="single" w:color="000000" w:sz="4" w:space="0"/>
                  </w:tcBorders>
                  <w:shd w:val="clear" w:color="auto" w:fill="DCE6F2"/>
                  <w:noWrap w:val="0"/>
                  <w:vAlign w:val="center"/>
                </w:tcPr>
                <w:p>
                  <w:pPr>
                    <w:pStyle w:val="49"/>
                    <w:autoSpaceDE w:val="0"/>
                    <w:jc w:val="center"/>
                    <w:rPr>
                      <w:rFonts w:ascii="Times New Roman" w:hAnsi="Times New Roman"/>
                      <w:b/>
                      <w:color w:val="auto"/>
                    </w:rPr>
                  </w:pPr>
                  <w:r>
                    <w:rPr>
                      <w:b/>
                      <w:color w:val="auto"/>
                    </w:rPr>
                    <w:t>本项目</w:t>
                  </w:r>
                </w:p>
              </w:tc>
              <w:tc>
                <w:tcPr>
                  <w:tcW w:w="424" w:type="pct"/>
                  <w:tcBorders>
                    <w:top w:val="single" w:color="000000" w:sz="12" w:space="0"/>
                    <w:left w:val="single" w:color="000000" w:sz="4" w:space="0"/>
                    <w:bottom w:val="single" w:color="000000" w:sz="4" w:space="0"/>
                    <w:right w:val="nil"/>
                  </w:tcBorders>
                  <w:shd w:val="clear" w:color="auto" w:fill="DCE6F2"/>
                  <w:noWrap w:val="0"/>
                  <w:vAlign w:val="center"/>
                </w:tcPr>
                <w:p>
                  <w:pPr>
                    <w:pStyle w:val="49"/>
                    <w:autoSpaceDE w:val="0"/>
                    <w:jc w:val="center"/>
                    <w:rPr>
                      <w:rFonts w:ascii="Times New Roman" w:hAnsi="Times New Roman"/>
                      <w:b/>
                      <w:color w:val="auto"/>
                    </w:rPr>
                  </w:pPr>
                  <w:r>
                    <w:rPr>
                      <w:b/>
                      <w:color w:val="auto"/>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99" w:type="pct"/>
                  <w:tcBorders>
                    <w:top w:val="single" w:color="000000" w:sz="4" w:space="0"/>
                    <w:left w:val="nil"/>
                    <w:bottom w:val="single" w:color="000000" w:sz="4" w:space="0"/>
                    <w:right w:val="single" w:color="000000" w:sz="4" w:space="0"/>
                  </w:tcBorders>
                  <w:noWrap w:val="0"/>
                  <w:vAlign w:val="center"/>
                </w:tcPr>
                <w:p>
                  <w:pPr>
                    <w:pStyle w:val="49"/>
                    <w:autoSpaceDE w:val="0"/>
                    <w:ind w:left="108" w:hanging="108"/>
                    <w:rPr>
                      <w:rFonts w:ascii="Times New Roman" w:hAnsi="Times New Roman"/>
                      <w:color w:val="auto"/>
                    </w:rPr>
                  </w:pPr>
                  <w:r>
                    <w:rPr>
                      <w:color w:val="auto"/>
                    </w:rPr>
                    <w:t>乐山市</w:t>
                  </w:r>
                </w:p>
              </w:tc>
              <w:tc>
                <w:tcPr>
                  <w:tcW w:w="2614" w:type="pct"/>
                  <w:tcBorders>
                    <w:top w:val="single" w:color="000000" w:sz="4" w:space="0"/>
                    <w:left w:val="single" w:color="000000" w:sz="4" w:space="0"/>
                    <w:bottom w:val="single" w:color="000000" w:sz="4" w:space="0"/>
                    <w:right w:val="single" w:color="000000" w:sz="4" w:space="0"/>
                  </w:tcBorders>
                  <w:noWrap w:val="0"/>
                  <w:vAlign w:val="center"/>
                </w:tcPr>
                <w:p>
                  <w:pPr>
                    <w:pStyle w:val="49"/>
                    <w:autoSpaceDE w:val="0"/>
                    <w:rPr>
                      <w:rFonts w:ascii="Times New Roman" w:hAnsi="Times New Roman"/>
                      <w:color w:val="auto"/>
                    </w:rPr>
                  </w:pPr>
                  <w:r>
                    <w:rPr>
                      <w:color w:val="auto"/>
                    </w:rPr>
                    <w:t>（</w:t>
                  </w:r>
                  <w:r>
                    <w:rPr>
                      <w:rFonts w:ascii="Times New Roman" w:hAnsi="Times New Roman"/>
                      <w:color w:val="auto"/>
                    </w:rPr>
                    <w:t>1</w:t>
                  </w:r>
                  <w:r>
                    <w:rPr>
                      <w:color w:val="auto"/>
                    </w:rPr>
                    <w:t>）对化工、钢铁、水泥、陶瓷、造纸、铁合金、砖瓦等重点产业提出严格资源环境绩效水平要求；</w:t>
                  </w:r>
                </w:p>
                <w:p>
                  <w:pPr>
                    <w:pStyle w:val="49"/>
                    <w:autoSpaceDE w:val="0"/>
                    <w:rPr>
                      <w:rFonts w:ascii="Times New Roman" w:hAnsi="Times New Roman"/>
                      <w:color w:val="auto"/>
                    </w:rPr>
                  </w:pPr>
                  <w:r>
                    <w:rPr>
                      <w:color w:val="auto"/>
                    </w:rPr>
                    <w:t>（</w:t>
                  </w:r>
                  <w:r>
                    <w:rPr>
                      <w:rFonts w:ascii="Times New Roman" w:hAnsi="Times New Roman"/>
                      <w:color w:val="auto"/>
                    </w:rPr>
                    <w:t>2</w:t>
                  </w:r>
                  <w:r>
                    <w:rPr>
                      <w:color w:val="auto"/>
                    </w:rPr>
                    <w:t>）禁止在长江干支流岸线一公里范围内新建、扩建化工园区和化工项目。鼓励现有化工企业逐步搬入合规园区；</w:t>
                  </w:r>
                </w:p>
                <w:p>
                  <w:pPr>
                    <w:pStyle w:val="49"/>
                    <w:autoSpaceDE w:val="0"/>
                    <w:rPr>
                      <w:rFonts w:ascii="Times New Roman" w:hAnsi="Times New Roman"/>
                      <w:color w:val="auto"/>
                    </w:rPr>
                  </w:pPr>
                  <w:r>
                    <w:rPr>
                      <w:color w:val="auto"/>
                    </w:rPr>
                    <w:t>（</w:t>
                  </w:r>
                  <w:r>
                    <w:rPr>
                      <w:rFonts w:ascii="Times New Roman" w:hAnsi="Times New Roman"/>
                      <w:color w:val="auto"/>
                    </w:rPr>
                    <w:t>3</w:t>
                  </w:r>
                  <w:r>
                    <w:rPr>
                      <w:color w:val="auto"/>
                    </w:rPr>
                    <w:t>）按照</w:t>
                  </w:r>
                  <w:r>
                    <w:rPr>
                      <w:rFonts w:ascii="Times New Roman" w:hAnsi="Times New Roman"/>
                      <w:color w:val="auto"/>
                    </w:rPr>
                    <w:t>“</w:t>
                  </w:r>
                  <w:r>
                    <w:rPr>
                      <w:color w:val="auto"/>
                    </w:rPr>
                    <w:t>一总部五基地</w:t>
                  </w:r>
                  <w:r>
                    <w:rPr>
                      <w:rFonts w:ascii="Times New Roman" w:hAnsi="Times New Roman"/>
                      <w:color w:val="auto"/>
                    </w:rPr>
                    <w:t>”</w:t>
                  </w:r>
                  <w:r>
                    <w:rPr>
                      <w:color w:val="auto"/>
                    </w:rPr>
                    <w:t>工业总体布局，推进城区以及分布不合理的高污染、高能耗企业退城入园，引导企业在搬迁改造中压减低端、低效、负效产能；</w:t>
                  </w:r>
                </w:p>
                <w:p>
                  <w:pPr>
                    <w:pStyle w:val="49"/>
                    <w:autoSpaceDE w:val="0"/>
                    <w:rPr>
                      <w:rFonts w:ascii="Times New Roman" w:hAnsi="Times New Roman"/>
                      <w:color w:val="auto"/>
                    </w:rPr>
                  </w:pPr>
                  <w:r>
                    <w:rPr>
                      <w:color w:val="auto"/>
                    </w:rPr>
                    <w:t>（</w:t>
                  </w:r>
                  <w:r>
                    <w:rPr>
                      <w:rFonts w:ascii="Times New Roman" w:hAnsi="Times New Roman"/>
                      <w:color w:val="auto"/>
                    </w:rPr>
                    <w:t>4</w:t>
                  </w:r>
                  <w:r>
                    <w:rPr>
                      <w:color w:val="auto"/>
                    </w:rPr>
                    <w:t>）严格控制高污染、高能耗项目；严格执行能源消费总量和强度双控制度，严格执行煤炭消费总量控制要求；</w:t>
                  </w:r>
                </w:p>
                <w:p>
                  <w:pPr>
                    <w:pStyle w:val="49"/>
                    <w:autoSpaceDE w:val="0"/>
                    <w:rPr>
                      <w:rFonts w:ascii="Times New Roman" w:hAnsi="Times New Roman"/>
                      <w:color w:val="auto"/>
                    </w:rPr>
                  </w:pPr>
                  <w:r>
                    <w:rPr>
                      <w:color w:val="auto"/>
                    </w:rPr>
                    <w:t>（</w:t>
                  </w:r>
                  <w:r>
                    <w:rPr>
                      <w:rFonts w:ascii="Times New Roman" w:hAnsi="Times New Roman"/>
                      <w:color w:val="auto"/>
                    </w:rPr>
                    <w:t>5</w:t>
                  </w:r>
                  <w:r>
                    <w:rPr>
                      <w:color w:val="auto"/>
                    </w:rPr>
                    <w:t>）引进项目应符合园区规划环评和区域产业准入清单要求。</w:t>
                  </w:r>
                </w:p>
              </w:tc>
              <w:tc>
                <w:tcPr>
                  <w:tcW w:w="1561" w:type="pct"/>
                  <w:tcBorders>
                    <w:top w:val="single" w:color="000000" w:sz="4" w:space="0"/>
                    <w:left w:val="single" w:color="000000" w:sz="4" w:space="0"/>
                    <w:bottom w:val="single" w:color="000000" w:sz="4" w:space="0"/>
                    <w:right w:val="single" w:color="000000" w:sz="4" w:space="0"/>
                  </w:tcBorders>
                  <w:noWrap w:val="0"/>
                  <w:vAlign w:val="center"/>
                </w:tcPr>
                <w:p>
                  <w:pPr>
                    <w:pStyle w:val="49"/>
                    <w:autoSpaceDE w:val="0"/>
                    <w:rPr>
                      <w:rFonts w:ascii="Times New Roman" w:hAnsi="Times New Roman"/>
                      <w:color w:val="auto"/>
                    </w:rPr>
                  </w:pPr>
                  <w:r>
                    <w:rPr>
                      <w:color w:val="auto"/>
                    </w:rPr>
                    <w:t>本项目不涉及化工、钢铁、水泥、陶瓷、造纸、铁合金、砖瓦重点行业。</w:t>
                  </w:r>
                </w:p>
                <w:p>
                  <w:pPr>
                    <w:pStyle w:val="49"/>
                    <w:autoSpaceDE w:val="0"/>
                    <w:rPr>
                      <w:rFonts w:ascii="Times New Roman" w:hAnsi="Times New Roman"/>
                      <w:color w:val="auto"/>
                    </w:rPr>
                  </w:pPr>
                  <w:r>
                    <w:rPr>
                      <w:color w:val="auto"/>
                    </w:rPr>
                    <w:t>本项目距离岷江约</w:t>
                  </w:r>
                  <w:r>
                    <w:rPr>
                      <w:rFonts w:hint="eastAsia" w:ascii="Times New Roman" w:hAnsi="Times New Roman"/>
                      <w:color w:val="auto"/>
                      <w:lang w:val="en-US" w:eastAsia="zh-CN"/>
                    </w:rPr>
                    <w:t>1.1</w:t>
                  </w:r>
                  <w:r>
                    <w:rPr>
                      <w:rFonts w:ascii="Times New Roman" w:hAnsi="Times New Roman"/>
                      <w:color w:val="auto"/>
                    </w:rPr>
                    <w:t>km</w:t>
                  </w:r>
                  <w:r>
                    <w:rPr>
                      <w:rFonts w:hint="eastAsia" w:ascii="Times New Roman" w:hAnsi="Times New Roman"/>
                      <w:color w:val="auto"/>
                      <w:lang w:eastAsia="zh-CN"/>
                    </w:rPr>
                    <w:t>，</w:t>
                  </w:r>
                  <w:r>
                    <w:rPr>
                      <w:rFonts w:hint="eastAsia"/>
                      <w:color w:val="auto"/>
                      <w:lang w:eastAsia="zh-CN"/>
                    </w:rPr>
                    <w:t>不</w:t>
                  </w:r>
                  <w:r>
                    <w:rPr>
                      <w:rStyle w:val="86"/>
                      <w:rFonts w:hint="eastAsia"/>
                      <w:i w:val="0"/>
                      <w:color w:val="auto"/>
                      <w:sz w:val="21"/>
                      <w:szCs w:val="21"/>
                      <w:shd w:val="clear" w:color="auto" w:fill="FFFFFF"/>
                    </w:rPr>
                    <w:t>在长江干支流岸线一公里范围内</w:t>
                  </w:r>
                  <w:r>
                    <w:rPr>
                      <w:rStyle w:val="86"/>
                      <w:rFonts w:hint="eastAsia"/>
                      <w:i w:val="0"/>
                      <w:color w:val="auto"/>
                      <w:sz w:val="21"/>
                      <w:szCs w:val="21"/>
                      <w:shd w:val="clear" w:color="auto" w:fill="FFFFFF"/>
                      <w:lang w:val="en-US" w:eastAsia="zh-CN"/>
                    </w:rPr>
                    <w:t>，</w:t>
                  </w:r>
                  <w:r>
                    <w:rPr>
                      <w:color w:val="auto"/>
                    </w:rPr>
                    <w:t>不属于化工项目。</w:t>
                  </w:r>
                </w:p>
                <w:p>
                  <w:pPr>
                    <w:pStyle w:val="49"/>
                    <w:autoSpaceDE w:val="0"/>
                    <w:rPr>
                      <w:rFonts w:ascii="Times New Roman" w:hAnsi="Times New Roman"/>
                      <w:color w:val="auto"/>
                    </w:rPr>
                  </w:pPr>
                  <w:r>
                    <w:rPr>
                      <w:color w:val="auto"/>
                    </w:rPr>
                    <w:t>本项目不涉及煤炭炭消费。不属于高污染、高能耗。</w:t>
                  </w:r>
                </w:p>
                <w:p>
                  <w:pPr>
                    <w:pStyle w:val="49"/>
                    <w:autoSpaceDE w:val="0"/>
                    <w:rPr>
                      <w:rFonts w:ascii="Times New Roman" w:hAnsi="Times New Roman"/>
                      <w:color w:val="auto"/>
                    </w:rPr>
                  </w:pPr>
                  <w:r>
                    <w:rPr>
                      <w:color w:val="auto"/>
                    </w:rPr>
                    <w:t>本项目属于</w:t>
                  </w:r>
                  <w:r>
                    <w:rPr>
                      <w:rFonts w:hint="eastAsia"/>
                      <w:color w:val="auto"/>
                      <w:lang w:eastAsia="zh-CN"/>
                    </w:rPr>
                    <w:t>非金属废料和碎屑加工处理</w:t>
                  </w:r>
                  <w:r>
                    <w:rPr>
                      <w:color w:val="auto"/>
                    </w:rPr>
                    <w:t>行业，符合区域产业准入清单要求。</w:t>
                  </w:r>
                </w:p>
              </w:tc>
              <w:tc>
                <w:tcPr>
                  <w:tcW w:w="424" w:type="pct"/>
                  <w:tcBorders>
                    <w:top w:val="single" w:color="000000" w:sz="4" w:space="0"/>
                    <w:left w:val="single" w:color="000000" w:sz="4" w:space="0"/>
                    <w:bottom w:val="single" w:color="000000" w:sz="4" w:space="0"/>
                    <w:right w:val="nil"/>
                  </w:tcBorders>
                  <w:noWrap w:val="0"/>
                  <w:vAlign w:val="center"/>
                </w:tcPr>
                <w:p>
                  <w:pPr>
                    <w:pStyle w:val="49"/>
                    <w:autoSpaceDE w:val="0"/>
                    <w:jc w:val="center"/>
                    <w:rPr>
                      <w:rFonts w:ascii="Times New Roman" w:hAnsi="Times New Roman"/>
                      <w:color w:val="auto"/>
                    </w:rPr>
                  </w:pPr>
                  <w:r>
                    <w:rPr>
                      <w:color w:val="auto"/>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99" w:type="pct"/>
                  <w:tcBorders>
                    <w:top w:val="single" w:color="000000" w:sz="4" w:space="0"/>
                    <w:left w:val="nil"/>
                    <w:bottom w:val="single" w:color="000000" w:sz="12" w:space="0"/>
                    <w:right w:val="single" w:color="000000" w:sz="4" w:space="0"/>
                  </w:tcBorders>
                  <w:noWrap w:val="0"/>
                  <w:vAlign w:val="center"/>
                </w:tcPr>
                <w:p>
                  <w:pPr>
                    <w:pStyle w:val="49"/>
                    <w:autoSpaceDE w:val="0"/>
                    <w:rPr>
                      <w:rFonts w:ascii="Times New Roman" w:hAnsi="Times New Roman"/>
                      <w:color w:val="auto"/>
                    </w:rPr>
                  </w:pPr>
                  <w:r>
                    <w:rPr>
                      <w:rFonts w:hint="eastAsia"/>
                      <w:color w:val="auto"/>
                      <w:lang w:val="en-US" w:eastAsia="zh-CN"/>
                    </w:rPr>
                    <w:t>犍为</w:t>
                  </w:r>
                  <w:r>
                    <w:rPr>
                      <w:rFonts w:hint="eastAsia"/>
                      <w:color w:val="auto"/>
                    </w:rPr>
                    <w:t>县</w:t>
                  </w:r>
                </w:p>
              </w:tc>
              <w:tc>
                <w:tcPr>
                  <w:tcW w:w="2614" w:type="pct"/>
                  <w:tcBorders>
                    <w:top w:val="single" w:color="000000" w:sz="4" w:space="0"/>
                    <w:left w:val="single" w:color="000000" w:sz="4" w:space="0"/>
                    <w:bottom w:val="single" w:color="000000" w:sz="12" w:space="0"/>
                    <w:right w:val="single" w:color="000000" w:sz="4" w:space="0"/>
                  </w:tcBorders>
                  <w:noWrap w:val="0"/>
                  <w:vAlign w:val="center"/>
                </w:tcPr>
                <w:p>
                  <w:pPr>
                    <w:pStyle w:val="25"/>
                    <w:numPr>
                      <w:ilvl w:val="0"/>
                      <w:numId w:val="3"/>
                    </w:numPr>
                    <w:shd w:val="clear" w:color="auto" w:fill="FFFFFF"/>
                    <w:autoSpaceDE w:val="0"/>
                    <w:spacing w:before="0" w:beforeAutospacing="0" w:after="0" w:afterAutospacing="0"/>
                    <w:jc w:val="both"/>
                    <w:rPr>
                      <w:rStyle w:val="86"/>
                      <w:rFonts w:hint="eastAsia"/>
                      <w:i w:val="0"/>
                      <w:color w:val="auto"/>
                      <w:sz w:val="21"/>
                      <w:szCs w:val="21"/>
                      <w:shd w:val="clear" w:color="auto" w:fill="FFFFFF"/>
                    </w:rPr>
                  </w:pPr>
                  <w:r>
                    <w:rPr>
                      <w:rStyle w:val="86"/>
                      <w:rFonts w:hint="eastAsia"/>
                      <w:i w:val="0"/>
                      <w:color w:val="auto"/>
                      <w:sz w:val="21"/>
                      <w:szCs w:val="21"/>
                      <w:shd w:val="clear" w:color="auto" w:fill="FFFFFF"/>
                    </w:rPr>
                    <w:t>禁止在长江干支流岸线一公里范围内新建、扩建化工园区和化工项目；</w:t>
                  </w:r>
                </w:p>
                <w:p>
                  <w:pPr>
                    <w:pStyle w:val="25"/>
                    <w:numPr>
                      <w:ilvl w:val="0"/>
                      <w:numId w:val="3"/>
                    </w:numPr>
                    <w:shd w:val="clear" w:color="auto" w:fill="FFFFFF"/>
                    <w:autoSpaceDE w:val="0"/>
                    <w:spacing w:before="0" w:beforeAutospacing="0" w:after="0" w:afterAutospacing="0"/>
                    <w:jc w:val="both"/>
                    <w:rPr>
                      <w:rFonts w:ascii="Times New Roman" w:hAnsi="Times New Roman"/>
                      <w:color w:val="auto"/>
                      <w:sz w:val="21"/>
                      <w:szCs w:val="21"/>
                    </w:rPr>
                  </w:pPr>
                  <w:r>
                    <w:rPr>
                      <w:rStyle w:val="86"/>
                      <w:rFonts w:hint="eastAsia"/>
                      <w:i w:val="0"/>
                      <w:color w:val="auto"/>
                      <w:sz w:val="21"/>
                      <w:szCs w:val="21"/>
                      <w:shd w:val="clear" w:color="auto" w:fill="FFFFFF"/>
                    </w:rPr>
                    <w:t>优化调整工业布局，推动生产性企业向犍为工业新基地集中集聚发展；加快园区外企业“退城入园”；</w:t>
                  </w:r>
                </w:p>
                <w:p>
                  <w:pPr>
                    <w:pStyle w:val="25"/>
                    <w:numPr>
                      <w:ilvl w:val="0"/>
                      <w:numId w:val="3"/>
                    </w:numPr>
                    <w:shd w:val="clear" w:color="auto" w:fill="FFFFFF"/>
                    <w:autoSpaceDE w:val="0"/>
                    <w:spacing w:before="0" w:beforeAutospacing="0" w:after="0" w:afterAutospacing="0"/>
                    <w:jc w:val="both"/>
                    <w:rPr>
                      <w:rFonts w:ascii="Times New Roman" w:hAnsi="Times New Roman"/>
                      <w:color w:val="auto"/>
                      <w:sz w:val="21"/>
                      <w:szCs w:val="21"/>
                    </w:rPr>
                  </w:pPr>
                  <w:r>
                    <w:rPr>
                      <w:rStyle w:val="86"/>
                      <w:rFonts w:hint="eastAsia"/>
                      <w:i w:val="0"/>
                      <w:color w:val="auto"/>
                      <w:sz w:val="21"/>
                      <w:szCs w:val="21"/>
                      <w:shd w:val="clear" w:color="auto" w:fill="FFFFFF"/>
                    </w:rPr>
                    <w:t>加强区域大气污染治理，推进水泥、火电等重点行业废气深度治理；</w:t>
                  </w:r>
                </w:p>
                <w:p>
                  <w:pPr>
                    <w:pStyle w:val="25"/>
                    <w:numPr>
                      <w:ilvl w:val="0"/>
                      <w:numId w:val="3"/>
                    </w:numPr>
                    <w:shd w:val="clear" w:color="auto" w:fill="FFFFFF"/>
                    <w:autoSpaceDE w:val="0"/>
                    <w:spacing w:before="0" w:beforeAutospacing="0" w:after="0" w:afterAutospacing="0"/>
                    <w:jc w:val="both"/>
                    <w:rPr>
                      <w:rFonts w:ascii="Times New Roman" w:hAnsi="Times New Roman"/>
                      <w:color w:val="auto"/>
                      <w:sz w:val="21"/>
                      <w:szCs w:val="21"/>
                    </w:rPr>
                  </w:pPr>
                  <w:r>
                    <w:rPr>
                      <w:rStyle w:val="86"/>
                      <w:rFonts w:hint="eastAsia"/>
                      <w:i w:val="0"/>
                      <w:color w:val="auto"/>
                      <w:sz w:val="21"/>
                      <w:szCs w:val="21"/>
                      <w:shd w:val="clear" w:color="auto" w:fill="FFFFFF"/>
                    </w:rPr>
                    <w:t>加强岷江水生态环境保护，严控岷江干流总磷排放量，新增涉磷排放项目执行减量削减要求；严格控制新增涉一类重金属排放项目；</w:t>
                  </w:r>
                </w:p>
                <w:p>
                  <w:pPr>
                    <w:pStyle w:val="25"/>
                    <w:numPr>
                      <w:ilvl w:val="0"/>
                      <w:numId w:val="3"/>
                    </w:numPr>
                    <w:shd w:val="clear" w:color="auto" w:fill="FFFFFF"/>
                    <w:autoSpaceDE w:val="0"/>
                    <w:spacing w:before="0" w:beforeAutospacing="0" w:after="0" w:afterAutospacing="0"/>
                    <w:jc w:val="both"/>
                    <w:rPr>
                      <w:rFonts w:ascii="Times New Roman" w:hAnsi="Times New Roman"/>
                      <w:color w:val="auto"/>
                      <w:sz w:val="21"/>
                      <w:szCs w:val="21"/>
                    </w:rPr>
                  </w:pPr>
                  <w:r>
                    <w:rPr>
                      <w:rStyle w:val="86"/>
                      <w:rFonts w:hint="eastAsia"/>
                      <w:i w:val="0"/>
                      <w:color w:val="auto"/>
                      <w:sz w:val="21"/>
                      <w:szCs w:val="21"/>
                      <w:shd w:val="clear" w:color="auto" w:fill="FFFFFF"/>
                    </w:rPr>
                    <w:t>纸浆造纸行业执行严格资源环境绩效水平要求；加强城乡生态环境保护基础设施建设；</w:t>
                  </w:r>
                  <w:r>
                    <w:rPr>
                      <w:rStyle w:val="86"/>
                      <w:rFonts w:hint="eastAsia"/>
                      <w:i w:val="0"/>
                      <w:color w:val="auto"/>
                      <w:sz w:val="21"/>
                      <w:szCs w:val="21"/>
                      <w:shd w:val="clear" w:color="auto" w:fill="FFFFFF"/>
                      <w:lang w:val="en-US" w:eastAsia="zh-CN"/>
                    </w:rPr>
                    <w:t xml:space="preserve"> </w:t>
                  </w:r>
                </w:p>
                <w:p>
                  <w:pPr>
                    <w:pStyle w:val="25"/>
                    <w:numPr>
                      <w:ilvl w:val="0"/>
                      <w:numId w:val="3"/>
                    </w:numPr>
                    <w:shd w:val="clear" w:color="auto" w:fill="FFFFFF"/>
                    <w:autoSpaceDE w:val="0"/>
                    <w:spacing w:before="0" w:beforeAutospacing="0" w:after="0" w:afterAutospacing="0"/>
                    <w:jc w:val="both"/>
                    <w:rPr>
                      <w:rFonts w:ascii="Times New Roman" w:hAnsi="Times New Roman"/>
                      <w:color w:val="auto"/>
                      <w:sz w:val="21"/>
                      <w:szCs w:val="21"/>
                    </w:rPr>
                  </w:pPr>
                  <w:r>
                    <w:rPr>
                      <w:rStyle w:val="86"/>
                      <w:rFonts w:hint="eastAsia"/>
                      <w:i w:val="0"/>
                      <w:color w:val="auto"/>
                      <w:sz w:val="21"/>
                      <w:szCs w:val="21"/>
                      <w:shd w:val="clear" w:color="auto" w:fill="FFFFFF"/>
                    </w:rPr>
                    <w:t>合理布局畜禽养殖，推进畜禽粪污无害化、资源化综合利用。</w:t>
                  </w:r>
                </w:p>
              </w:tc>
              <w:tc>
                <w:tcPr>
                  <w:tcW w:w="1561" w:type="pct"/>
                  <w:tcBorders>
                    <w:top w:val="single" w:color="000000" w:sz="4" w:space="0"/>
                    <w:left w:val="single" w:color="000000" w:sz="4" w:space="0"/>
                    <w:bottom w:val="single" w:color="000000" w:sz="12" w:space="0"/>
                    <w:right w:val="single" w:color="000000" w:sz="4" w:space="0"/>
                  </w:tcBorders>
                  <w:noWrap w:val="0"/>
                  <w:vAlign w:val="center"/>
                </w:tcPr>
                <w:p>
                  <w:pPr>
                    <w:pStyle w:val="49"/>
                    <w:autoSpaceDE w:val="0"/>
                    <w:rPr>
                      <w:rFonts w:hint="eastAsia"/>
                      <w:color w:val="auto"/>
                      <w:lang w:eastAsia="zh-CN"/>
                    </w:rPr>
                  </w:pPr>
                  <w:r>
                    <w:rPr>
                      <w:color w:val="auto"/>
                    </w:rPr>
                    <w:t>本项目距离岷江约</w:t>
                  </w:r>
                  <w:r>
                    <w:rPr>
                      <w:rFonts w:hint="eastAsia" w:ascii="Times New Roman" w:hAnsi="Times New Roman"/>
                      <w:color w:val="auto"/>
                      <w:lang w:val="en-US" w:eastAsia="zh-CN"/>
                    </w:rPr>
                    <w:t>1.1</w:t>
                  </w:r>
                  <w:r>
                    <w:rPr>
                      <w:rFonts w:ascii="Times New Roman" w:hAnsi="Times New Roman"/>
                      <w:color w:val="auto"/>
                    </w:rPr>
                    <w:t>km</w:t>
                  </w:r>
                  <w:r>
                    <w:rPr>
                      <w:rFonts w:hint="eastAsia" w:ascii="Times New Roman" w:hAnsi="Times New Roman"/>
                      <w:color w:val="auto"/>
                      <w:lang w:eastAsia="zh-CN"/>
                    </w:rPr>
                    <w:t>，</w:t>
                  </w:r>
                  <w:r>
                    <w:rPr>
                      <w:rFonts w:hint="eastAsia"/>
                      <w:color w:val="auto"/>
                      <w:lang w:eastAsia="zh-CN"/>
                    </w:rPr>
                    <w:t>不</w:t>
                  </w:r>
                  <w:r>
                    <w:rPr>
                      <w:rStyle w:val="86"/>
                      <w:rFonts w:hint="eastAsia"/>
                      <w:i w:val="0"/>
                      <w:color w:val="auto"/>
                      <w:sz w:val="21"/>
                      <w:szCs w:val="21"/>
                      <w:shd w:val="clear" w:color="auto" w:fill="FFFFFF"/>
                    </w:rPr>
                    <w:t>在长江干支流岸线一公里范围内</w:t>
                  </w:r>
                  <w:r>
                    <w:rPr>
                      <w:rStyle w:val="86"/>
                      <w:rFonts w:hint="eastAsia"/>
                      <w:i w:val="0"/>
                      <w:color w:val="auto"/>
                      <w:sz w:val="21"/>
                      <w:szCs w:val="21"/>
                      <w:shd w:val="clear" w:color="auto" w:fill="FFFFFF"/>
                      <w:lang w:val="en-US" w:eastAsia="zh-CN"/>
                    </w:rPr>
                    <w:t>，</w:t>
                  </w:r>
                  <w:r>
                    <w:rPr>
                      <w:color w:val="auto"/>
                    </w:rPr>
                    <w:t>不属于化工项目</w:t>
                  </w:r>
                  <w:r>
                    <w:rPr>
                      <w:rFonts w:hint="eastAsia"/>
                      <w:color w:val="auto"/>
                      <w:lang w:eastAsia="zh-CN"/>
                    </w:rPr>
                    <w:t>；</w:t>
                  </w:r>
                </w:p>
                <w:p>
                  <w:pPr>
                    <w:pStyle w:val="49"/>
                    <w:autoSpaceDE w:val="0"/>
                    <w:rPr>
                      <w:color w:val="auto"/>
                    </w:rPr>
                  </w:pPr>
                  <w:r>
                    <w:rPr>
                      <w:rFonts w:hint="eastAsia"/>
                      <w:color w:val="auto"/>
                      <w:lang w:val="en-US" w:eastAsia="zh-CN"/>
                    </w:rPr>
                    <w:t>本项目位于</w:t>
                  </w:r>
                  <w:r>
                    <w:rPr>
                      <w:rFonts w:hint="eastAsia"/>
                      <w:color w:val="auto"/>
                    </w:rPr>
                    <w:t>乐山市犍为县石马坝园区</w:t>
                  </w:r>
                  <w:r>
                    <w:rPr>
                      <w:rFonts w:hint="eastAsia"/>
                      <w:color w:val="auto"/>
                      <w:lang w:val="en-US" w:eastAsia="zh-CN"/>
                    </w:rPr>
                    <w:t>内</w:t>
                  </w:r>
                  <w:r>
                    <w:rPr>
                      <w:color w:val="auto"/>
                    </w:rPr>
                    <w:t>；</w:t>
                  </w:r>
                </w:p>
                <w:p>
                  <w:pPr>
                    <w:pStyle w:val="49"/>
                    <w:autoSpaceDE w:val="0"/>
                    <w:rPr>
                      <w:color w:val="auto"/>
                    </w:rPr>
                  </w:pPr>
                  <w:r>
                    <w:rPr>
                      <w:color w:val="auto"/>
                    </w:rPr>
                    <w:t>废气经治理后排放量较少，能实现达标排放；</w:t>
                  </w:r>
                </w:p>
                <w:p>
                  <w:pPr>
                    <w:pStyle w:val="49"/>
                    <w:autoSpaceDE w:val="0"/>
                    <w:rPr>
                      <w:color w:val="auto"/>
                    </w:rPr>
                  </w:pPr>
                  <w:r>
                    <w:rPr>
                      <w:color w:val="auto"/>
                    </w:rPr>
                    <w:t>本项目生产废水不涉磷，且生活污水、生产废水经</w:t>
                  </w:r>
                  <w:r>
                    <w:rPr>
                      <w:rFonts w:hint="eastAsia"/>
                      <w:color w:val="auto"/>
                      <w:lang w:val="en-US" w:eastAsia="zh-CN"/>
                    </w:rPr>
                    <w:t>自建</w:t>
                  </w:r>
                  <w:r>
                    <w:rPr>
                      <w:color w:val="auto"/>
                    </w:rPr>
                    <w:t>污水处理</w:t>
                  </w:r>
                  <w:r>
                    <w:rPr>
                      <w:rFonts w:hint="eastAsia"/>
                      <w:color w:val="auto"/>
                      <w:lang w:val="en-US" w:eastAsia="zh-CN"/>
                    </w:rPr>
                    <w:t>站</w:t>
                  </w:r>
                  <w:r>
                    <w:rPr>
                      <w:color w:val="auto"/>
                    </w:rPr>
                    <w:t>处理后</w:t>
                  </w:r>
                  <w:r>
                    <w:rPr>
                      <w:rFonts w:hint="eastAsia"/>
                      <w:color w:val="auto"/>
                      <w:lang w:val="en-US" w:eastAsia="zh-CN"/>
                    </w:rPr>
                    <w:t>回用，不外排</w:t>
                  </w:r>
                  <w:r>
                    <w:rPr>
                      <w:color w:val="auto"/>
                    </w:rPr>
                    <w:t>；</w:t>
                  </w:r>
                </w:p>
                <w:p>
                  <w:pPr>
                    <w:pStyle w:val="49"/>
                    <w:autoSpaceDE w:val="0"/>
                    <w:rPr>
                      <w:rFonts w:ascii="Times New Roman" w:hAnsi="Times New Roman"/>
                      <w:color w:val="auto"/>
                      <w:szCs w:val="21"/>
                    </w:rPr>
                  </w:pPr>
                  <w:r>
                    <w:rPr>
                      <w:color w:val="auto"/>
                    </w:rPr>
                    <w:t>本项目</w:t>
                  </w:r>
                  <w:r>
                    <w:rPr>
                      <w:rFonts w:hint="eastAsia"/>
                      <w:color w:val="auto"/>
                      <w:lang w:val="en-US" w:eastAsia="zh-CN"/>
                    </w:rPr>
                    <w:t>不属于</w:t>
                  </w:r>
                  <w:r>
                    <w:rPr>
                      <w:rStyle w:val="86"/>
                      <w:rFonts w:hint="eastAsia"/>
                      <w:i w:val="0"/>
                      <w:color w:val="auto"/>
                      <w:sz w:val="21"/>
                      <w:szCs w:val="21"/>
                      <w:shd w:val="clear" w:color="auto" w:fill="FFFFFF"/>
                    </w:rPr>
                    <w:t>纸浆造纸行业</w:t>
                  </w:r>
                  <w:r>
                    <w:rPr>
                      <w:color w:val="auto"/>
                    </w:rPr>
                    <w:t>，</w:t>
                  </w:r>
                  <w:r>
                    <w:rPr>
                      <w:rStyle w:val="86"/>
                      <w:rFonts w:hint="eastAsia"/>
                      <w:i w:val="0"/>
                      <w:color w:val="auto"/>
                      <w:sz w:val="21"/>
                      <w:szCs w:val="21"/>
                      <w:shd w:val="clear" w:color="auto" w:fill="FFFFFF"/>
                    </w:rPr>
                    <w:t>畜禽养殖</w:t>
                  </w:r>
                  <w:r>
                    <w:rPr>
                      <w:color w:val="auto"/>
                    </w:rPr>
                    <w:t>。</w:t>
                  </w:r>
                </w:p>
              </w:tc>
              <w:tc>
                <w:tcPr>
                  <w:tcW w:w="424" w:type="pct"/>
                  <w:tcBorders>
                    <w:top w:val="single" w:color="000000" w:sz="4" w:space="0"/>
                    <w:left w:val="single" w:color="000000" w:sz="4" w:space="0"/>
                    <w:bottom w:val="single" w:color="000000" w:sz="12" w:space="0"/>
                    <w:right w:val="nil"/>
                  </w:tcBorders>
                  <w:noWrap w:val="0"/>
                  <w:vAlign w:val="center"/>
                </w:tcPr>
                <w:p>
                  <w:pPr>
                    <w:pStyle w:val="49"/>
                    <w:autoSpaceDE w:val="0"/>
                    <w:jc w:val="center"/>
                    <w:rPr>
                      <w:rFonts w:ascii="Times New Roman" w:hAnsi="Times New Roman"/>
                      <w:color w:val="auto"/>
                    </w:rPr>
                  </w:pPr>
                  <w:r>
                    <w:rPr>
                      <w:color w:val="auto"/>
                    </w:rPr>
                    <w:t>符合</w:t>
                  </w:r>
                </w:p>
              </w:tc>
            </w:tr>
          </w:tbl>
          <w:p>
            <w:pPr>
              <w:autoSpaceDE w:val="0"/>
              <w:autoSpaceDN w:val="0"/>
              <w:adjustRightInd w:val="0"/>
              <w:snapToGrid w:val="0"/>
              <w:spacing w:line="360" w:lineRule="auto"/>
              <w:rPr>
                <w:rFonts w:ascii="Times New Roman" w:hAnsi="Times New Roman"/>
                <w:b/>
                <w:color w:val="auto"/>
                <w:szCs w:val="21"/>
              </w:rPr>
            </w:pPr>
            <w:r>
              <w:rPr>
                <w:color w:val="auto"/>
              </w:rPr>
              <w:drawing>
                <wp:anchor distT="0" distB="0" distL="114300" distR="114300" simplePos="0" relativeHeight="251659264" behindDoc="1" locked="0" layoutInCell="1" allowOverlap="1">
                  <wp:simplePos x="0" y="0"/>
                  <wp:positionH relativeFrom="column">
                    <wp:posOffset>2618740</wp:posOffset>
                  </wp:positionH>
                  <wp:positionV relativeFrom="paragraph">
                    <wp:posOffset>1028700</wp:posOffset>
                  </wp:positionV>
                  <wp:extent cx="875030" cy="581660"/>
                  <wp:effectExtent l="0" t="0" r="1270" b="8890"/>
                  <wp:wrapThrough wrapText="bothSides">
                    <wp:wrapPolygon>
                      <wp:start x="21592" y="-2"/>
                      <wp:lineTo x="0" y="0"/>
                      <wp:lineTo x="0" y="21600"/>
                      <wp:lineTo x="21592" y="21602"/>
                      <wp:lineTo x="8" y="21602"/>
                      <wp:lineTo x="21600" y="21600"/>
                      <wp:lineTo x="21600" y="0"/>
                      <wp:lineTo x="8" y="-2"/>
                      <wp:lineTo x="21592" y="-2"/>
                    </wp:wrapPolygon>
                  </wp:wrapThrough>
                  <wp:docPr id="1" name="图片 717" descr="wpsF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17" descr="wpsFB61"/>
                          <pic:cNvPicPr>
                            <a:picLocks noChangeAspect="1"/>
                          </pic:cNvPicPr>
                        </pic:nvPicPr>
                        <pic:blipFill>
                          <a:blip r:embed="rId12"/>
                          <a:stretch>
                            <a:fillRect/>
                          </a:stretch>
                        </pic:blipFill>
                        <pic:spPr>
                          <a:xfrm>
                            <a:off x="0" y="0"/>
                            <a:ext cx="875030" cy="581660"/>
                          </a:xfrm>
                          <a:prstGeom prst="rect">
                            <a:avLst/>
                          </a:prstGeom>
                          <a:noFill/>
                          <a:ln>
                            <a:noFill/>
                          </a:ln>
                        </pic:spPr>
                      </pic:pic>
                    </a:graphicData>
                  </a:graphic>
                </wp:anchor>
              </w:drawing>
            </w:r>
            <w:r>
              <w:rPr>
                <w:color w:val="auto"/>
              </w:rPr>
              <w:drawing>
                <wp:inline distT="0" distB="0" distL="114300" distR="114300">
                  <wp:extent cx="4915535" cy="3352165"/>
                  <wp:effectExtent l="0" t="0" r="18415" b="635"/>
                  <wp:docPr id="6" name="图片 154" descr="wpsF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4" descr="wpsFB62"/>
                          <pic:cNvPicPr>
                            <a:picLocks noChangeAspect="1"/>
                          </pic:cNvPicPr>
                        </pic:nvPicPr>
                        <pic:blipFill>
                          <a:blip r:embed="rId13"/>
                          <a:stretch>
                            <a:fillRect/>
                          </a:stretch>
                        </pic:blipFill>
                        <pic:spPr>
                          <a:xfrm>
                            <a:off x="0" y="0"/>
                            <a:ext cx="4915535" cy="3352165"/>
                          </a:xfrm>
                          <a:prstGeom prst="rect">
                            <a:avLst/>
                          </a:prstGeom>
                          <a:noFill/>
                          <a:ln>
                            <a:noFill/>
                          </a:ln>
                        </pic:spPr>
                      </pic:pic>
                    </a:graphicData>
                  </a:graphic>
                </wp:inline>
              </w:drawing>
            </w:r>
            <w:r>
              <w:rPr>
                <w:rFonts w:ascii="Times New Roman" w:hAnsi="Times New Roman"/>
                <w:b/>
                <w:color w:val="auto"/>
              </w:rPr>
              <w:t xml:space="preserve"> </w:t>
            </w:r>
          </w:p>
          <w:p>
            <w:pPr>
              <w:autoSpaceDE w:val="0"/>
              <w:autoSpaceDN w:val="0"/>
              <w:adjustRightInd w:val="0"/>
              <w:snapToGrid w:val="0"/>
              <w:spacing w:line="360" w:lineRule="auto"/>
              <w:ind w:firstLine="422" w:firstLineChars="200"/>
              <w:jc w:val="center"/>
              <w:rPr>
                <w:rFonts w:ascii="Times New Roman" w:hAnsi="Times New Roman"/>
                <w:b/>
                <w:color w:val="auto"/>
              </w:rPr>
            </w:pPr>
            <w:r>
              <w:rPr>
                <w:rFonts w:ascii="宋体" w:hAnsi="宋体"/>
                <w:b/>
                <w:color w:val="auto"/>
              </w:rPr>
              <w:t>图</w:t>
            </w:r>
            <w:r>
              <w:rPr>
                <w:rFonts w:ascii="Times New Roman" w:hAnsi="Times New Roman"/>
                <w:b/>
                <w:color w:val="auto"/>
              </w:rPr>
              <w:t>1-</w:t>
            </w:r>
            <w:r>
              <w:rPr>
                <w:rFonts w:hint="eastAsia" w:ascii="Times New Roman" w:hAnsi="Times New Roman"/>
                <w:b/>
                <w:color w:val="auto"/>
                <w:lang w:val="en-US" w:eastAsia="zh-CN"/>
              </w:rPr>
              <w:t>3</w:t>
            </w:r>
            <w:r>
              <w:rPr>
                <w:rFonts w:hint="eastAsia" w:ascii="Times New Roman" w:hAnsi="Times New Roman"/>
                <w:b/>
                <w:color w:val="auto"/>
              </w:rPr>
              <w:t xml:space="preserve"> </w:t>
            </w:r>
            <w:r>
              <w:rPr>
                <w:rFonts w:ascii="宋体" w:hAnsi="宋体"/>
                <w:b/>
                <w:color w:val="auto"/>
              </w:rPr>
              <w:t>乐山市生态环境管控单元</w:t>
            </w:r>
          </w:p>
          <w:p>
            <w:pPr>
              <w:spacing w:line="360" w:lineRule="auto"/>
              <w:ind w:firstLine="480" w:firstLineChars="200"/>
              <w:rPr>
                <w:rFonts w:ascii="宋体" w:hAnsi="宋体"/>
                <w:bCs/>
                <w:color w:val="auto"/>
                <w:sz w:val="24"/>
                <w:szCs w:val="32"/>
              </w:rPr>
            </w:pPr>
            <w:r>
              <w:rPr>
                <w:rFonts w:ascii="宋体" w:hAnsi="宋体"/>
                <w:bCs/>
                <w:color w:val="auto"/>
                <w:sz w:val="24"/>
                <w:szCs w:val="32"/>
              </w:rPr>
              <w:t>根据乐山市环境管控单元图，本项目位于其中的</w:t>
            </w:r>
            <w:r>
              <w:rPr>
                <w:rFonts w:hint="eastAsia" w:ascii="宋体" w:hAnsi="宋体"/>
                <w:bCs/>
                <w:color w:val="auto"/>
                <w:sz w:val="24"/>
                <w:szCs w:val="32"/>
              </w:rPr>
              <w:t>城镇重点管控</w:t>
            </w:r>
            <w:r>
              <w:rPr>
                <w:rFonts w:ascii="宋体" w:hAnsi="宋体"/>
                <w:bCs/>
                <w:color w:val="auto"/>
                <w:sz w:val="24"/>
                <w:szCs w:val="32"/>
              </w:rPr>
              <w:t>单元，</w:t>
            </w:r>
            <w:r>
              <w:rPr>
                <w:rFonts w:ascii="Times New Roman" w:hAnsi="Times New Roman"/>
                <w:bCs/>
                <w:color w:val="auto"/>
                <w:sz w:val="24"/>
                <w:szCs w:val="32"/>
              </w:rPr>
              <w:t>“</w:t>
            </w:r>
            <w:r>
              <w:rPr>
                <w:rFonts w:ascii="宋体" w:hAnsi="宋体"/>
                <w:bCs/>
                <w:color w:val="auto"/>
                <w:sz w:val="24"/>
                <w:szCs w:val="32"/>
              </w:rPr>
              <w:t>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r>
              <w:rPr>
                <w:rFonts w:ascii="Times New Roman" w:hAnsi="Times New Roman"/>
                <w:bCs/>
                <w:color w:val="auto"/>
                <w:sz w:val="24"/>
                <w:szCs w:val="32"/>
              </w:rPr>
              <w:t>”</w:t>
            </w:r>
            <w:r>
              <w:rPr>
                <w:rFonts w:ascii="宋体" w:hAnsi="宋体"/>
                <w:bCs/>
                <w:color w:val="auto"/>
                <w:sz w:val="24"/>
                <w:szCs w:val="32"/>
              </w:rPr>
              <w:t>。</w:t>
            </w:r>
            <w:r>
              <w:rPr>
                <w:rFonts w:hint="eastAsia" w:ascii="宋体" w:hAnsi="宋体"/>
                <w:bCs/>
                <w:color w:val="auto"/>
                <w:sz w:val="24"/>
                <w:szCs w:val="32"/>
                <w:lang w:val="en-US" w:eastAsia="zh-CN"/>
              </w:rPr>
              <w:t>本次技改</w:t>
            </w:r>
            <w:r>
              <w:rPr>
                <w:rFonts w:hint="eastAsia" w:ascii="宋体" w:hAnsi="宋体"/>
                <w:bCs/>
                <w:color w:val="auto"/>
                <w:sz w:val="24"/>
                <w:szCs w:val="32"/>
              </w:rPr>
              <w:t>无新增生活污水，项目生产废水经自建污水处理站处理后循环回用；冷却水循环使用不外排；生活污水经厂内预处理池处理后排入市政污水管网，最终进入犍为县污水处理厂处理后达标排放</w:t>
            </w:r>
            <w:r>
              <w:rPr>
                <w:rFonts w:ascii="宋体" w:hAnsi="宋体"/>
                <w:bCs/>
                <w:color w:val="auto"/>
                <w:sz w:val="24"/>
                <w:szCs w:val="32"/>
              </w:rPr>
              <w:t>，</w:t>
            </w:r>
            <w:r>
              <w:rPr>
                <w:rFonts w:hint="eastAsia" w:ascii="宋体" w:hAnsi="宋体"/>
                <w:bCs/>
                <w:color w:val="auto"/>
                <w:sz w:val="24"/>
                <w:szCs w:val="32"/>
              </w:rPr>
              <w:t>本项目废气经生产区封闭+集气罩+布袋除尘器+水膜+喷淋塔+UV光解+低温等离子+二级活性炭吸附处理设备处理后经15m排气筒达标排放，对周边环境无较大影响；</w:t>
            </w:r>
            <w:r>
              <w:rPr>
                <w:rFonts w:ascii="宋体" w:hAnsi="宋体"/>
                <w:bCs/>
                <w:color w:val="auto"/>
                <w:sz w:val="24"/>
                <w:szCs w:val="32"/>
              </w:rPr>
              <w:t>在采取相应的环保措施后，项目已与周围环境相协调发展，因此，项目与乐山市生态环境分区管控相符。</w:t>
            </w:r>
          </w:p>
          <w:p>
            <w:pPr>
              <w:pStyle w:val="81"/>
              <w:numPr>
                <w:ilvl w:val="0"/>
                <w:numId w:val="4"/>
              </w:numPr>
              <w:spacing w:before="120" w:line="360" w:lineRule="auto"/>
              <w:rPr>
                <w:rFonts w:cs="Times New Roman"/>
                <w:b/>
                <w:bCs/>
                <w:color w:val="auto"/>
                <w:sz w:val="24"/>
                <w:szCs w:val="24"/>
              </w:rPr>
            </w:pPr>
            <w:r>
              <w:rPr>
                <w:rFonts w:cs="Times New Roman"/>
                <w:b/>
                <w:bCs/>
                <w:color w:val="auto"/>
                <w:sz w:val="24"/>
                <w:szCs w:val="24"/>
              </w:rPr>
              <w:t>与</w:t>
            </w:r>
            <w:r>
              <w:rPr>
                <w:rFonts w:hint="eastAsia" w:cs="Times New Roman"/>
                <w:b/>
                <w:bCs/>
                <w:color w:val="auto"/>
                <w:sz w:val="24"/>
                <w:szCs w:val="24"/>
              </w:rPr>
              <w:t>相关生态环境保护法律法规政策、生态环境保护规划的符合性分析</w:t>
            </w:r>
          </w:p>
          <w:p>
            <w:pPr>
              <w:adjustRightInd w:val="0"/>
              <w:snapToGrid w:val="0"/>
              <w:spacing w:line="360" w:lineRule="auto"/>
              <w:ind w:firstLine="480" w:firstLineChars="200"/>
              <w:jc w:val="left"/>
              <w:rPr>
                <w:rFonts w:ascii="宋体" w:hAnsi="宋体"/>
                <w:color w:val="auto"/>
                <w:sz w:val="24"/>
                <w:szCs w:val="32"/>
              </w:rPr>
            </w:pPr>
            <w:r>
              <w:rPr>
                <w:rFonts w:ascii="宋体" w:hAnsi="宋体"/>
                <w:color w:val="auto"/>
                <w:sz w:val="24"/>
                <w:szCs w:val="32"/>
              </w:rPr>
              <w:t>根</w:t>
            </w:r>
            <w:r>
              <w:rPr>
                <w:rFonts w:ascii="宋体" w:hAnsi="宋体"/>
                <w:b w:val="0"/>
                <w:bCs w:val="0"/>
                <w:color w:val="auto"/>
                <w:sz w:val="24"/>
                <w:szCs w:val="32"/>
              </w:rPr>
              <w:t>据</w:t>
            </w:r>
            <w:r>
              <w:rPr>
                <w:rFonts w:hint="eastAsia" w:cs="Times New Roman"/>
                <w:b w:val="0"/>
                <w:bCs w:val="0"/>
                <w:color w:val="auto"/>
                <w:sz w:val="24"/>
                <w:szCs w:val="24"/>
                <w:lang w:eastAsia="zh-CN"/>
              </w:rPr>
              <w:t>《长江经济带发展负面清单指南》（试行，2022年版）</w:t>
            </w:r>
            <w:r>
              <w:rPr>
                <w:rFonts w:ascii="宋体" w:hAnsi="宋体"/>
                <w:b w:val="0"/>
                <w:bCs w:val="0"/>
                <w:color w:val="auto"/>
                <w:sz w:val="24"/>
                <w:szCs w:val="32"/>
              </w:rPr>
              <w:t>，</w:t>
            </w:r>
            <w:r>
              <w:rPr>
                <w:rFonts w:ascii="宋体" w:hAnsi="宋体"/>
                <w:color w:val="auto"/>
                <w:sz w:val="24"/>
                <w:szCs w:val="32"/>
              </w:rPr>
              <w:t>本项目与其符合性分析见下表。</w:t>
            </w:r>
          </w:p>
          <w:p>
            <w:pPr>
              <w:adjustRightInd w:val="0"/>
              <w:snapToGrid w:val="0"/>
              <w:spacing w:line="440" w:lineRule="exact"/>
              <w:jc w:val="center"/>
              <w:rPr>
                <w:rFonts w:ascii="宋体" w:hAnsi="宋体"/>
                <w:b/>
                <w:bCs/>
                <w:color w:val="auto"/>
              </w:rPr>
            </w:pPr>
          </w:p>
          <w:p>
            <w:pPr>
              <w:adjustRightInd w:val="0"/>
              <w:snapToGrid w:val="0"/>
              <w:spacing w:line="440" w:lineRule="exact"/>
              <w:jc w:val="center"/>
              <w:rPr>
                <w:rFonts w:ascii="宋体" w:hAnsi="宋体"/>
                <w:b/>
                <w:bCs/>
                <w:color w:val="auto"/>
              </w:rPr>
            </w:pPr>
          </w:p>
          <w:p>
            <w:pPr>
              <w:adjustRightInd w:val="0"/>
              <w:snapToGrid w:val="0"/>
              <w:spacing w:line="440" w:lineRule="exact"/>
              <w:jc w:val="center"/>
              <w:rPr>
                <w:rFonts w:ascii="宋体" w:hAnsi="宋体"/>
                <w:b/>
                <w:bCs/>
                <w:color w:val="auto"/>
              </w:rPr>
            </w:pPr>
          </w:p>
          <w:p>
            <w:pPr>
              <w:adjustRightInd w:val="0"/>
              <w:snapToGrid w:val="0"/>
              <w:spacing w:line="440" w:lineRule="exact"/>
              <w:jc w:val="center"/>
              <w:rPr>
                <w:color w:val="auto"/>
              </w:rPr>
            </w:pPr>
            <w:r>
              <w:rPr>
                <w:rFonts w:ascii="宋体" w:hAnsi="宋体"/>
                <w:b/>
                <w:bCs/>
                <w:color w:val="auto"/>
              </w:rPr>
              <w:t>表</w:t>
            </w:r>
            <w:r>
              <w:rPr>
                <w:rFonts w:ascii="Times New Roman" w:hAnsi="Times New Roman"/>
                <w:b/>
                <w:bCs/>
                <w:color w:val="auto"/>
              </w:rPr>
              <w:t>1-</w:t>
            </w:r>
            <w:r>
              <w:rPr>
                <w:rFonts w:hint="eastAsia" w:ascii="Times New Roman" w:hAnsi="Times New Roman"/>
                <w:b/>
                <w:bCs/>
                <w:color w:val="auto"/>
                <w:lang w:val="en-US" w:eastAsia="zh-CN"/>
              </w:rPr>
              <w:t>4</w:t>
            </w:r>
            <w:r>
              <w:rPr>
                <w:rFonts w:ascii="Times New Roman" w:hAnsi="Times New Roman"/>
                <w:b/>
                <w:bCs/>
                <w:color w:val="auto"/>
              </w:rPr>
              <w:t xml:space="preserve"> </w:t>
            </w:r>
            <w:r>
              <w:rPr>
                <w:rFonts w:ascii="宋体" w:hAnsi="宋体"/>
                <w:b/>
                <w:bCs/>
                <w:color w:val="auto"/>
              </w:rPr>
              <w:t>与</w:t>
            </w:r>
            <w:r>
              <w:rPr>
                <w:rFonts w:hint="eastAsia" w:ascii="宋体" w:hAnsi="宋体"/>
                <w:b/>
                <w:bCs/>
                <w:color w:val="auto"/>
                <w:lang w:eastAsia="zh-CN"/>
              </w:rPr>
              <w:t>《</w:t>
            </w:r>
            <w:r>
              <w:rPr>
                <w:rFonts w:hint="eastAsia" w:cs="Times New Roman"/>
                <w:b/>
                <w:bCs/>
                <w:color w:val="auto"/>
                <w:sz w:val="21"/>
                <w:szCs w:val="21"/>
                <w:lang w:eastAsia="zh-CN"/>
              </w:rPr>
              <w:t>长江经济带发展负面清单指南》</w:t>
            </w:r>
            <w:r>
              <w:rPr>
                <w:rFonts w:ascii="宋体" w:hAnsi="宋体"/>
                <w:b/>
                <w:bCs/>
                <w:color w:val="auto"/>
              </w:rPr>
              <w:t>符合性分析</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1"/>
              <w:gridCol w:w="4106"/>
              <w:gridCol w:w="2836"/>
              <w:gridCol w:w="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98" w:type="dxa"/>
                  <w:tcBorders>
                    <w:top w:val="single" w:color="auto" w:sz="12" w:space="0"/>
                    <w:left w:val="nil"/>
                    <w:bottom w:val="single" w:color="auto" w:sz="4" w:space="0"/>
                    <w:right w:val="single" w:color="auto" w:sz="4" w:space="0"/>
                  </w:tcBorders>
                  <w:shd w:val="clear" w:color="auto" w:fill="DCE6F2"/>
                  <w:noWrap w:val="0"/>
                  <w:vAlign w:val="center"/>
                </w:tcPr>
                <w:p>
                  <w:pPr>
                    <w:adjustRightInd w:val="0"/>
                    <w:snapToGrid w:val="0"/>
                    <w:jc w:val="center"/>
                    <w:rPr>
                      <w:rFonts w:ascii="Times New Roman" w:hAnsi="Times New Roman"/>
                      <w:b/>
                      <w:bCs/>
                      <w:color w:val="auto"/>
                    </w:rPr>
                  </w:pPr>
                  <w:r>
                    <w:rPr>
                      <w:rFonts w:ascii="宋体" w:hAnsi="宋体"/>
                      <w:b/>
                      <w:bCs/>
                      <w:color w:val="auto"/>
                    </w:rPr>
                    <w:t>序号</w:t>
                  </w:r>
                </w:p>
              </w:tc>
              <w:tc>
                <w:tcPr>
                  <w:tcW w:w="3925" w:type="dxa"/>
                  <w:tcBorders>
                    <w:top w:val="single" w:color="auto" w:sz="12" w:space="0"/>
                    <w:left w:val="single" w:color="auto" w:sz="4" w:space="0"/>
                    <w:bottom w:val="single" w:color="auto" w:sz="4" w:space="0"/>
                    <w:right w:val="single" w:color="auto" w:sz="4" w:space="0"/>
                  </w:tcBorders>
                  <w:shd w:val="clear" w:color="auto" w:fill="DCE6F2"/>
                  <w:noWrap w:val="0"/>
                  <w:vAlign w:val="center"/>
                </w:tcPr>
                <w:p>
                  <w:pPr>
                    <w:adjustRightInd w:val="0"/>
                    <w:snapToGrid w:val="0"/>
                    <w:jc w:val="center"/>
                    <w:rPr>
                      <w:rFonts w:ascii="Times New Roman" w:hAnsi="Times New Roman"/>
                      <w:b/>
                      <w:bCs/>
                      <w:color w:val="auto"/>
                    </w:rPr>
                  </w:pPr>
                  <w:r>
                    <w:rPr>
                      <w:rFonts w:ascii="宋体" w:hAnsi="宋体"/>
                      <w:b/>
                      <w:bCs/>
                      <w:color w:val="auto"/>
                    </w:rPr>
                    <w:t>文件中要求</w:t>
                  </w:r>
                </w:p>
              </w:tc>
              <w:tc>
                <w:tcPr>
                  <w:tcW w:w="2711" w:type="dxa"/>
                  <w:tcBorders>
                    <w:top w:val="single" w:color="auto" w:sz="12" w:space="0"/>
                    <w:left w:val="single" w:color="auto" w:sz="4" w:space="0"/>
                    <w:bottom w:val="single" w:color="auto" w:sz="4" w:space="0"/>
                    <w:right w:val="single" w:color="auto" w:sz="4" w:space="0"/>
                  </w:tcBorders>
                  <w:shd w:val="clear" w:color="auto" w:fill="DCE6F2"/>
                  <w:noWrap w:val="0"/>
                  <w:vAlign w:val="center"/>
                </w:tcPr>
                <w:p>
                  <w:pPr>
                    <w:adjustRightInd w:val="0"/>
                    <w:snapToGrid w:val="0"/>
                    <w:jc w:val="center"/>
                    <w:rPr>
                      <w:rFonts w:ascii="Times New Roman" w:hAnsi="Times New Roman"/>
                      <w:b/>
                      <w:bCs/>
                      <w:color w:val="auto"/>
                    </w:rPr>
                  </w:pPr>
                  <w:r>
                    <w:rPr>
                      <w:rFonts w:ascii="宋体" w:hAnsi="宋体"/>
                      <w:b/>
                      <w:bCs/>
                      <w:color w:val="auto"/>
                    </w:rPr>
                    <w:t>本项目情况</w:t>
                  </w:r>
                </w:p>
              </w:tc>
              <w:tc>
                <w:tcPr>
                  <w:tcW w:w="704" w:type="dxa"/>
                  <w:tcBorders>
                    <w:top w:val="single" w:color="auto" w:sz="12" w:space="0"/>
                    <w:left w:val="single" w:color="auto" w:sz="4" w:space="0"/>
                    <w:bottom w:val="single" w:color="auto" w:sz="4" w:space="0"/>
                    <w:right w:val="nil"/>
                  </w:tcBorders>
                  <w:shd w:val="clear" w:color="auto" w:fill="DCE6F2"/>
                  <w:noWrap w:val="0"/>
                  <w:vAlign w:val="center"/>
                </w:tcPr>
                <w:p>
                  <w:pPr>
                    <w:adjustRightInd w:val="0"/>
                    <w:snapToGrid w:val="0"/>
                    <w:jc w:val="center"/>
                    <w:rPr>
                      <w:rFonts w:ascii="Times New Roman" w:hAnsi="Times New Roman"/>
                      <w:b/>
                      <w:bCs/>
                      <w:color w:val="auto"/>
                    </w:rPr>
                  </w:pPr>
                  <w:r>
                    <w:rPr>
                      <w:rFonts w:ascii="宋体" w:hAnsi="宋体"/>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1</w:t>
                  </w:r>
                </w:p>
              </w:tc>
              <w:tc>
                <w:tcPr>
                  <w:tcW w:w="39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ascii="Times New Roman" w:hAnsi="Times New Roman"/>
                      <w:color w:val="auto"/>
                    </w:rPr>
                  </w:pPr>
                  <w:r>
                    <w:rPr>
                      <w:rFonts w:hint="eastAsia" w:ascii="宋体" w:hAnsi="宋体"/>
                      <w:color w:val="auto"/>
                    </w:rPr>
                    <w:t>禁止建设不符合全国和省级港口布局规划以及港口总体规划的码头项目，禁止建设不符合《长江干线过江通道布局规划》的过长江通道项目。</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不涉及</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宋体" w:hAnsi="宋体"/>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2</w:t>
                  </w:r>
                </w:p>
              </w:tc>
              <w:tc>
                <w:tcPr>
                  <w:tcW w:w="39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ascii="Times New Roman" w:hAnsi="Times New Roman"/>
                      <w:color w:val="auto"/>
                    </w:rPr>
                  </w:pPr>
                  <w:r>
                    <w:rPr>
                      <w:rFonts w:hint="eastAsia" w:ascii="宋体" w:hAnsi="宋体"/>
                      <w:color w:val="auto"/>
                    </w:rPr>
                    <w:t>禁止在自然保护区核心区、缓冲区的岸线和河段范围内投资建设旅游和生产经营项目。禁止在风景名胜区核心景区的岸线和河段范围内投资建设与风景名胜资源保护无关的项目。</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ascii="Times New Roman" w:hAnsi="Times New Roman"/>
                      <w:color w:val="auto"/>
                    </w:rPr>
                  </w:pPr>
                  <w:r>
                    <w:rPr>
                      <w:rFonts w:ascii="宋体" w:hAnsi="宋体"/>
                      <w:color w:val="auto"/>
                    </w:rPr>
                    <w:t>本项目位于</w:t>
                  </w:r>
                  <w:r>
                    <w:rPr>
                      <w:rFonts w:hint="eastAsia"/>
                      <w:color w:val="auto"/>
                    </w:rPr>
                    <w:t>乐山市犍为县舞雩镇石马坝工业园区</w:t>
                  </w:r>
                  <w:r>
                    <w:rPr>
                      <w:rFonts w:hint="eastAsia"/>
                      <w:color w:val="auto"/>
                      <w:lang w:val="en-US" w:eastAsia="zh-CN"/>
                    </w:rPr>
                    <w:t>内</w:t>
                  </w:r>
                  <w:r>
                    <w:rPr>
                      <w:rFonts w:ascii="宋体" w:hAnsi="宋体"/>
                      <w:color w:val="auto"/>
                    </w:rPr>
                    <w:t>，</w:t>
                  </w:r>
                  <w:r>
                    <w:rPr>
                      <w:rFonts w:ascii="Times New Roman" w:hAnsi="Times New Roman"/>
                      <w:bCs/>
                      <w:color w:val="auto"/>
                      <w:kern w:val="0"/>
                      <w:szCs w:val="24"/>
                    </w:rPr>
                    <w:t>本项目不在</w:t>
                  </w:r>
                  <w:r>
                    <w:rPr>
                      <w:rFonts w:hint="eastAsia" w:ascii="Times New Roman" w:hAnsi="Times New Roman"/>
                      <w:bCs/>
                      <w:color w:val="auto"/>
                      <w:kern w:val="0"/>
                      <w:szCs w:val="24"/>
                      <w:lang w:val="en-US" w:eastAsia="zh-CN"/>
                    </w:rPr>
                    <w:t>自然</w:t>
                  </w:r>
                  <w:r>
                    <w:rPr>
                      <w:rFonts w:ascii="Times New Roman" w:hAnsi="Times New Roman"/>
                      <w:bCs/>
                      <w:color w:val="auto"/>
                      <w:kern w:val="0"/>
                      <w:szCs w:val="24"/>
                    </w:rPr>
                    <w:t>保护区</w:t>
                  </w:r>
                  <w:r>
                    <w:rPr>
                      <w:rFonts w:hint="eastAsia" w:ascii="Times New Roman" w:hAnsi="Times New Roman"/>
                      <w:bCs/>
                      <w:color w:val="auto"/>
                      <w:kern w:val="0"/>
                      <w:szCs w:val="24"/>
                      <w:lang w:eastAsia="zh-CN"/>
                    </w:rPr>
                    <w:t>、</w:t>
                  </w:r>
                  <w:r>
                    <w:rPr>
                      <w:rFonts w:hint="eastAsia" w:ascii="宋体" w:hAnsi="宋体"/>
                      <w:color w:val="auto"/>
                    </w:rPr>
                    <w:t>风景名胜区</w:t>
                  </w:r>
                  <w:r>
                    <w:rPr>
                      <w:rFonts w:ascii="Times New Roman" w:hAnsi="Times New Roman"/>
                      <w:bCs/>
                      <w:color w:val="auto"/>
                      <w:kern w:val="0"/>
                      <w:szCs w:val="24"/>
                    </w:rPr>
                    <w:t>范围内</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宋体" w:hAnsi="宋体"/>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olor w:val="auto"/>
                      <w:lang w:eastAsia="zh-CN"/>
                    </w:rPr>
                  </w:pPr>
                  <w:r>
                    <w:rPr>
                      <w:rFonts w:hint="eastAsia" w:ascii="Times New Roman" w:hAnsi="Times New Roman"/>
                      <w:color w:val="auto"/>
                      <w:lang w:val="en-US" w:eastAsia="zh-CN"/>
                    </w:rPr>
                    <w:t>3</w:t>
                  </w:r>
                </w:p>
              </w:tc>
              <w:tc>
                <w:tcPr>
                  <w:tcW w:w="39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ascii="Times New Roman" w:hAnsi="Times New Roman"/>
                      <w:color w:val="auto"/>
                    </w:rPr>
                  </w:pPr>
                  <w:r>
                    <w:rPr>
                      <w:rFonts w:hint="eastAsia" w:ascii="宋体" w:hAnsi="宋体"/>
                      <w:color w:val="auto"/>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ascii="Times New Roman" w:hAnsi="Times New Roman"/>
                      <w:color w:val="auto"/>
                    </w:rPr>
                  </w:pPr>
                  <w:r>
                    <w:rPr>
                      <w:rFonts w:ascii="宋体" w:hAnsi="宋体"/>
                      <w:color w:val="auto"/>
                    </w:rPr>
                    <w:t>本项目</w:t>
                  </w:r>
                  <w:r>
                    <w:rPr>
                      <w:rFonts w:hint="eastAsia" w:ascii="宋体" w:hAnsi="宋体"/>
                      <w:color w:val="auto"/>
                      <w:lang w:val="en-US" w:eastAsia="zh-CN"/>
                    </w:rPr>
                    <w:t>为技改项目</w:t>
                  </w:r>
                  <w:r>
                    <w:rPr>
                      <w:rFonts w:ascii="宋体" w:hAnsi="宋体"/>
                      <w:color w:val="auto"/>
                    </w:rPr>
                    <w:t>，</w:t>
                  </w:r>
                  <w:r>
                    <w:rPr>
                      <w:rFonts w:ascii="Times New Roman" w:hAnsi="Times New Roman"/>
                      <w:bCs/>
                      <w:color w:val="auto"/>
                      <w:kern w:val="0"/>
                      <w:szCs w:val="24"/>
                    </w:rPr>
                    <w:t>本项目不在</w:t>
                  </w:r>
                  <w:r>
                    <w:rPr>
                      <w:rFonts w:hint="eastAsia" w:ascii="宋体" w:hAnsi="宋体"/>
                      <w:color w:val="auto"/>
                    </w:rPr>
                    <w:t>饮用水水源保护区</w:t>
                  </w:r>
                  <w:r>
                    <w:rPr>
                      <w:rFonts w:ascii="Times New Roman" w:hAnsi="Times New Roman"/>
                      <w:bCs/>
                      <w:color w:val="auto"/>
                      <w:kern w:val="0"/>
                      <w:szCs w:val="24"/>
                    </w:rPr>
                    <w:t>范围内</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4</w:t>
                  </w:r>
                </w:p>
              </w:tc>
              <w:tc>
                <w:tcPr>
                  <w:tcW w:w="39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color w:val="auto"/>
                    </w:rPr>
                  </w:pPr>
                  <w:r>
                    <w:rPr>
                      <w:rFonts w:hint="eastAsia" w:ascii="宋体" w:hAnsi="宋体"/>
                      <w:color w:val="auto"/>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default" w:ascii="宋体" w:hAnsi="宋体" w:eastAsia="宋体"/>
                      <w:color w:val="auto"/>
                      <w:lang w:val="en-US" w:eastAsia="zh-CN"/>
                    </w:rPr>
                  </w:pPr>
                  <w:r>
                    <w:rPr>
                      <w:rFonts w:hint="eastAsia" w:ascii="宋体" w:hAnsi="宋体"/>
                      <w:color w:val="auto"/>
                      <w:lang w:val="en-US" w:eastAsia="zh-CN"/>
                    </w:rPr>
                    <w:t>本项目为非金属废料和碎屑加工处理，不在</w:t>
                  </w:r>
                  <w:r>
                    <w:rPr>
                      <w:rFonts w:hint="eastAsia" w:ascii="宋体" w:hAnsi="宋体"/>
                      <w:color w:val="auto"/>
                    </w:rPr>
                    <w:t>水产种质资源保护区的岸线和河段范围内</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宋体" w:hAnsi="宋体"/>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5</w:t>
                  </w:r>
                </w:p>
              </w:tc>
              <w:tc>
                <w:tcPr>
                  <w:tcW w:w="39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ascii="宋体" w:hAnsi="宋体"/>
                      <w:color w:val="auto"/>
                    </w:rPr>
                  </w:pPr>
                  <w:r>
                    <w:rPr>
                      <w:rFonts w:hint="eastAsia" w:ascii="宋体" w:hAnsi="宋体"/>
                      <w:color w:va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宋体" w:hAnsi="宋体"/>
                      <w:color w:val="auto"/>
                    </w:rPr>
                  </w:pPr>
                  <w:r>
                    <w:rPr>
                      <w:rFonts w:ascii="宋体" w:eastAsia="宋体" w:cs="Times New Roman"/>
                      <w:bCs/>
                      <w:color w:val="auto"/>
                      <w:sz w:val="21"/>
                      <w:szCs w:val="21"/>
                    </w:rPr>
                    <w:t>本项目无生产废水外排，无新增生活污水。</w:t>
                  </w:r>
                  <w:r>
                    <w:rPr>
                      <w:rFonts w:hint="eastAsia" w:ascii="宋体" w:eastAsia="宋体" w:cs="Times New Roman"/>
                      <w:bCs/>
                      <w:color w:val="auto"/>
                      <w:sz w:val="21"/>
                      <w:szCs w:val="21"/>
                    </w:rPr>
                    <w:t>项目生产废水经自建污水处理站处理后循环回用；冷却水循环使用不外排；生活污水经厂内预处理池处理后排入市政污水管网，最终进入犍为县污水处理厂处理后达标排放</w:t>
                  </w:r>
                  <w:r>
                    <w:rPr>
                      <w:rFonts w:ascii="宋体" w:eastAsia="宋体" w:cs="Times New Roman"/>
                      <w:bCs/>
                      <w:color w:val="auto"/>
                      <w:sz w:val="21"/>
                      <w:szCs w:val="21"/>
                    </w:rPr>
                    <w:t>。</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宋体" w:hAnsi="宋体"/>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6</w:t>
                  </w:r>
                </w:p>
              </w:tc>
              <w:tc>
                <w:tcPr>
                  <w:tcW w:w="39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olor w:val="auto"/>
                      <w:lang w:eastAsia="zh-CN"/>
                    </w:rPr>
                  </w:pPr>
                  <w:r>
                    <w:rPr>
                      <w:rFonts w:hint="eastAsia" w:ascii="宋体" w:hAnsi="宋体"/>
                      <w:color w:val="auto"/>
                    </w:rPr>
                    <w:t>禁止未经许可在长江干支流及湖泊新设、改设或扩大排污口。</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宋体" w:hAnsi="宋体" w:eastAsia="宋体"/>
                      <w:color w:val="auto"/>
                      <w:lang w:val="en-US" w:eastAsia="zh-CN"/>
                    </w:rPr>
                  </w:pPr>
                  <w:r>
                    <w:rPr>
                      <w:rFonts w:hint="eastAsia" w:ascii="宋体" w:hAnsi="宋体"/>
                      <w:color w:val="auto"/>
                      <w:lang w:val="en-US" w:eastAsia="zh-CN"/>
                    </w:rPr>
                    <w:t>不涉及</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宋体" w:hAnsi="宋体"/>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7</w:t>
                  </w:r>
                </w:p>
              </w:tc>
              <w:tc>
                <w:tcPr>
                  <w:tcW w:w="39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color w:val="auto"/>
                    </w:rPr>
                  </w:pPr>
                  <w:r>
                    <w:rPr>
                      <w:rFonts w:hint="eastAsia" w:ascii="宋体" w:hAnsi="宋体"/>
                      <w:color w:val="auto"/>
                    </w:rPr>
                    <w:t>禁止在“一江一口两湖七河”和332个水生生物保护区开展生产性捕捞。</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olor w:val="auto"/>
                      <w:lang w:val="en-US" w:eastAsia="zh-CN"/>
                    </w:rPr>
                  </w:pPr>
                  <w:r>
                    <w:rPr>
                      <w:rFonts w:hint="eastAsia" w:ascii="宋体" w:hAnsi="宋体"/>
                      <w:color w:val="auto"/>
                      <w:lang w:val="en-US" w:eastAsia="zh-CN"/>
                    </w:rPr>
                    <w:t>不涉及</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宋体" w:hAnsi="宋体"/>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8</w:t>
                  </w:r>
                </w:p>
              </w:tc>
              <w:tc>
                <w:tcPr>
                  <w:tcW w:w="39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olor w:val="auto"/>
                      <w:lang w:eastAsia="zh-CN"/>
                    </w:rPr>
                  </w:pPr>
                  <w:r>
                    <w:rPr>
                      <w:rFonts w:hint="eastAsia" w:ascii="宋体" w:hAnsi="宋体"/>
                      <w:color w:val="auto"/>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ascii="宋体" w:hAnsi="宋体"/>
                      <w:color w:val="auto"/>
                    </w:rPr>
                  </w:pPr>
                  <w:r>
                    <w:rPr>
                      <w:rFonts w:hint="eastAsia" w:ascii="宋体" w:hAnsi="宋体"/>
                      <w:color w:val="auto"/>
                      <w:lang w:val="en-US" w:eastAsia="zh-CN"/>
                    </w:rPr>
                    <w:t>本项目为非金属废料和碎屑加工处理的技改项目</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宋体" w:hAnsi="宋体"/>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9</w:t>
                  </w:r>
                </w:p>
              </w:tc>
              <w:tc>
                <w:tcPr>
                  <w:tcW w:w="39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olor w:val="auto"/>
                      <w:lang w:eastAsia="zh-CN"/>
                    </w:rPr>
                  </w:pPr>
                  <w:r>
                    <w:rPr>
                      <w:rFonts w:hint="eastAsia" w:ascii="宋体" w:hAnsi="宋体"/>
                      <w:color w:val="auto"/>
                    </w:rPr>
                    <w:t>禁止在合规园区外新建、扩建钢铁、石化、化工、焦化、建材、有色、制浆造纸等高污染项目。</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宋体" w:hAnsi="宋体"/>
                      <w:color w:val="auto"/>
                    </w:rPr>
                  </w:pPr>
                  <w:r>
                    <w:rPr>
                      <w:rFonts w:ascii="宋体" w:hAnsi="宋体"/>
                      <w:color w:val="auto"/>
                    </w:rPr>
                    <w:t>本项目位于</w:t>
                  </w:r>
                  <w:r>
                    <w:rPr>
                      <w:rFonts w:hint="eastAsia"/>
                      <w:color w:val="auto"/>
                    </w:rPr>
                    <w:t>乐山市犍为县舞雩镇石马坝工业园区</w:t>
                  </w:r>
                  <w:r>
                    <w:rPr>
                      <w:rFonts w:hint="eastAsia"/>
                      <w:color w:val="auto"/>
                      <w:lang w:val="en-US" w:eastAsia="zh-CN"/>
                    </w:rPr>
                    <w:t>内</w:t>
                  </w:r>
                  <w:r>
                    <w:rPr>
                      <w:rFonts w:ascii="宋体" w:hAnsi="宋体"/>
                      <w:color w:val="auto"/>
                    </w:rPr>
                    <w:t>，</w:t>
                  </w:r>
                  <w:r>
                    <w:rPr>
                      <w:rFonts w:hint="eastAsia" w:ascii="宋体" w:hAnsi="宋体"/>
                      <w:color w:val="auto"/>
                      <w:lang w:val="en-US" w:eastAsia="zh-CN"/>
                    </w:rPr>
                    <w:t>为非金属废料和碎屑加工处理的技改项目</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宋体" w:hAnsi="宋体"/>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10</w:t>
                  </w:r>
                </w:p>
              </w:tc>
              <w:tc>
                <w:tcPr>
                  <w:tcW w:w="39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hint="eastAsia" w:ascii="宋体" w:hAnsi="宋体" w:eastAsia="宋体"/>
                      <w:color w:val="auto"/>
                      <w:lang w:eastAsia="zh-CN"/>
                    </w:rPr>
                  </w:pPr>
                  <w:r>
                    <w:rPr>
                      <w:rFonts w:hint="eastAsia" w:ascii="宋体" w:hAnsi="宋体"/>
                      <w:color w:val="auto"/>
                    </w:rPr>
                    <w:t>禁止新建、扩建不符合国家石化、现代煤化工等产业布局规划的项目。</w:t>
                  </w:r>
                </w:p>
              </w:tc>
              <w:tc>
                <w:tcPr>
                  <w:tcW w:w="271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ascii="宋体" w:hAnsi="宋体"/>
                      <w:color w:val="auto"/>
                    </w:rPr>
                  </w:pPr>
                  <w:r>
                    <w:rPr>
                      <w:rFonts w:ascii="宋体" w:hAnsi="宋体"/>
                      <w:color w:val="auto"/>
                    </w:rPr>
                    <w:t>本项目</w:t>
                  </w:r>
                  <w:r>
                    <w:rPr>
                      <w:rFonts w:hint="eastAsia" w:ascii="宋体" w:hAnsi="宋体"/>
                      <w:color w:val="auto"/>
                      <w:lang w:val="en-US" w:eastAsia="zh-CN"/>
                    </w:rPr>
                    <w:t>不属于</w:t>
                  </w:r>
                  <w:r>
                    <w:rPr>
                      <w:rFonts w:hint="eastAsia" w:ascii="宋体" w:hAnsi="宋体"/>
                      <w:color w:val="auto"/>
                    </w:rPr>
                    <w:t>国家石化、现代煤化工等产业布局规划的项目</w:t>
                  </w:r>
                  <w:r>
                    <w:rPr>
                      <w:rFonts w:hint="eastAsia" w:ascii="宋体" w:hAnsi="宋体"/>
                      <w:color w:val="auto"/>
                      <w:lang w:eastAsia="zh-CN"/>
                    </w:rPr>
                    <w:t>，</w:t>
                  </w:r>
                  <w:r>
                    <w:rPr>
                      <w:rFonts w:hint="eastAsia" w:ascii="宋体" w:hAnsi="宋体"/>
                      <w:color w:val="auto"/>
                      <w:lang w:val="en-US" w:eastAsia="zh-CN"/>
                    </w:rPr>
                    <w:t>为非金属废料和碎屑加工处理的技改项目</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宋体" w:hAnsi="宋体"/>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498" w:type="dxa"/>
                  <w:tcBorders>
                    <w:top w:val="single" w:color="auto" w:sz="4" w:space="0"/>
                    <w:left w:val="nil"/>
                    <w:bottom w:val="single" w:color="auto" w:sz="12" w:space="0"/>
                    <w:right w:val="single" w:color="auto" w:sz="4" w:space="0"/>
                  </w:tcBorders>
                  <w:noWrap w:val="0"/>
                  <w:vAlign w:val="center"/>
                </w:tcPr>
                <w:p>
                  <w:pPr>
                    <w:adjustRightInd w:val="0"/>
                    <w:snapToGrid w:val="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11</w:t>
                  </w:r>
                </w:p>
              </w:tc>
              <w:tc>
                <w:tcPr>
                  <w:tcW w:w="3925" w:type="dxa"/>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both"/>
                    <w:rPr>
                      <w:rFonts w:hint="eastAsia" w:ascii="宋体" w:hAnsi="宋体"/>
                      <w:color w:val="auto"/>
                    </w:rPr>
                  </w:pPr>
                  <w:r>
                    <w:rPr>
                      <w:rFonts w:hint="eastAsia" w:ascii="宋体" w:hAnsi="宋体"/>
                      <w:color w:val="auto"/>
                    </w:rPr>
                    <w:t>11.禁止新建、扩建法律法规和相关政策明令禁止的落后产能项目。禁止新建、扩建不符合国家产能置换要求的严重过剩产能行业的项目。禁止新建、扩建不符合要求的高耗能高排放项目</w:t>
                  </w:r>
                  <w:r>
                    <w:rPr>
                      <w:rFonts w:hint="eastAsia" w:ascii="宋体" w:hAnsi="宋体"/>
                      <w:color w:val="auto"/>
                      <w:lang w:eastAsia="zh-CN"/>
                    </w:rPr>
                    <w:t>。</w:t>
                  </w:r>
                </w:p>
              </w:tc>
              <w:tc>
                <w:tcPr>
                  <w:tcW w:w="2711" w:type="dxa"/>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both"/>
                    <w:rPr>
                      <w:rFonts w:hint="eastAsia" w:ascii="宋体" w:hAnsi="宋体" w:eastAsia="宋体"/>
                      <w:color w:val="auto"/>
                      <w:lang w:eastAsia="zh-CN"/>
                    </w:rPr>
                  </w:pPr>
                  <w:r>
                    <w:rPr>
                      <w:rFonts w:ascii="宋体" w:hAnsi="宋体"/>
                      <w:color w:val="auto"/>
                    </w:rPr>
                    <w:t>本项目</w:t>
                  </w:r>
                  <w:r>
                    <w:rPr>
                      <w:rFonts w:hint="eastAsia" w:ascii="宋体" w:hAnsi="宋体"/>
                      <w:color w:val="auto"/>
                      <w:lang w:val="en-US" w:eastAsia="zh-CN"/>
                    </w:rPr>
                    <w:t>不属于</w:t>
                  </w:r>
                  <w:r>
                    <w:rPr>
                      <w:rFonts w:hint="eastAsia" w:ascii="宋体" w:hAnsi="宋体"/>
                      <w:color w:val="auto"/>
                    </w:rPr>
                    <w:t>法律法规和相关政策明令禁止的落后产能项目。</w:t>
                  </w:r>
                  <w:r>
                    <w:rPr>
                      <w:rFonts w:hint="eastAsia" w:ascii="宋体" w:hAnsi="宋体"/>
                      <w:color w:val="auto"/>
                      <w:lang w:val="en-US" w:eastAsia="zh-CN"/>
                    </w:rPr>
                    <w:t>不属于</w:t>
                  </w:r>
                  <w:r>
                    <w:rPr>
                      <w:rFonts w:hint="eastAsia" w:ascii="宋体" w:hAnsi="宋体"/>
                      <w:color w:val="auto"/>
                    </w:rPr>
                    <w:t>国家产能置换要求的严重过剩产能行业的项目。</w:t>
                  </w:r>
                  <w:r>
                    <w:rPr>
                      <w:rFonts w:hint="eastAsia" w:ascii="宋体" w:hAnsi="宋体"/>
                      <w:color w:val="auto"/>
                      <w:lang w:val="en-US" w:eastAsia="zh-CN"/>
                    </w:rPr>
                    <w:t>不属于</w:t>
                  </w:r>
                  <w:r>
                    <w:rPr>
                      <w:rFonts w:hint="eastAsia" w:ascii="宋体" w:hAnsi="宋体"/>
                      <w:color w:val="auto"/>
                    </w:rPr>
                    <w:t>高耗能高排放项目</w:t>
                  </w:r>
                  <w:r>
                    <w:rPr>
                      <w:rFonts w:hint="eastAsia" w:ascii="宋体" w:hAnsi="宋体"/>
                      <w:color w:val="auto"/>
                      <w:lang w:eastAsia="zh-CN"/>
                    </w:rPr>
                    <w:t>。</w:t>
                  </w:r>
                </w:p>
              </w:tc>
              <w:tc>
                <w:tcPr>
                  <w:tcW w:w="704" w:type="dxa"/>
                  <w:tcBorders>
                    <w:top w:val="single" w:color="auto" w:sz="4" w:space="0"/>
                    <w:left w:val="single" w:color="auto" w:sz="4" w:space="0"/>
                    <w:bottom w:val="single" w:color="auto" w:sz="12" w:space="0"/>
                    <w:right w:val="nil"/>
                  </w:tcBorders>
                  <w:noWrap w:val="0"/>
                  <w:vAlign w:val="center"/>
                </w:tcPr>
                <w:p>
                  <w:pPr>
                    <w:adjustRightInd w:val="0"/>
                    <w:snapToGrid w:val="0"/>
                    <w:jc w:val="center"/>
                    <w:rPr>
                      <w:rFonts w:ascii="宋体" w:hAnsi="宋体"/>
                      <w:color w:val="auto"/>
                    </w:rPr>
                  </w:pPr>
                  <w:r>
                    <w:rPr>
                      <w:rFonts w:ascii="宋体" w:hAnsi="宋体"/>
                      <w:color w:val="auto"/>
                    </w:rPr>
                    <w:t>符合</w:t>
                  </w:r>
                </w:p>
              </w:tc>
            </w:tr>
          </w:tbl>
          <w:p>
            <w:pPr>
              <w:adjustRightInd w:val="0"/>
              <w:snapToGrid w:val="0"/>
              <w:spacing w:line="360" w:lineRule="auto"/>
              <w:ind w:firstLine="480" w:firstLineChars="200"/>
              <w:jc w:val="left"/>
              <w:rPr>
                <w:rFonts w:ascii="宋体" w:hAnsi="宋体"/>
                <w:color w:val="auto"/>
                <w:sz w:val="24"/>
                <w:szCs w:val="32"/>
              </w:rPr>
            </w:pPr>
            <w:r>
              <w:rPr>
                <w:rFonts w:ascii="宋体" w:hAnsi="宋体"/>
                <w:color w:val="auto"/>
                <w:sz w:val="24"/>
                <w:szCs w:val="32"/>
              </w:rPr>
              <w:t>根据《四川省推动长江经济带发展领导小组办公室关于印发四川省长江经济带发展负面清单实施细则（试行）的通知》（川长江办</w:t>
            </w:r>
            <w:r>
              <w:rPr>
                <w:rFonts w:ascii="Times New Roman" w:hAnsi="Times New Roman"/>
                <w:color w:val="auto"/>
                <w:sz w:val="24"/>
                <w:szCs w:val="32"/>
              </w:rPr>
              <w:t>[2019]8</w:t>
            </w:r>
            <w:r>
              <w:rPr>
                <w:rFonts w:ascii="宋体" w:hAnsi="宋体"/>
                <w:color w:val="auto"/>
                <w:sz w:val="24"/>
                <w:szCs w:val="32"/>
              </w:rPr>
              <w:t>）号），本项目与其符合性分析见下表。</w:t>
            </w:r>
          </w:p>
          <w:p>
            <w:pPr>
              <w:adjustRightInd w:val="0"/>
              <w:snapToGrid w:val="0"/>
              <w:spacing w:line="440" w:lineRule="exact"/>
              <w:jc w:val="center"/>
              <w:rPr>
                <w:rFonts w:ascii="Times New Roman" w:hAnsi="Times New Roman"/>
                <w:b/>
                <w:bCs/>
                <w:color w:val="auto"/>
              </w:rPr>
            </w:pPr>
            <w:r>
              <w:rPr>
                <w:rFonts w:ascii="宋体" w:hAnsi="宋体"/>
                <w:b/>
                <w:bCs/>
                <w:color w:val="auto"/>
              </w:rPr>
              <w:t>表</w:t>
            </w:r>
            <w:r>
              <w:rPr>
                <w:rFonts w:ascii="Times New Roman" w:hAnsi="Times New Roman"/>
                <w:b/>
                <w:bCs/>
                <w:color w:val="auto"/>
              </w:rPr>
              <w:t>1-</w:t>
            </w:r>
            <w:r>
              <w:rPr>
                <w:rFonts w:hint="eastAsia" w:ascii="Times New Roman" w:hAnsi="Times New Roman"/>
                <w:b/>
                <w:bCs/>
                <w:color w:val="auto"/>
                <w:lang w:val="en-US" w:eastAsia="zh-CN"/>
              </w:rPr>
              <w:t>5</w:t>
            </w:r>
            <w:r>
              <w:rPr>
                <w:rFonts w:ascii="Times New Roman" w:hAnsi="Times New Roman"/>
                <w:b/>
                <w:bCs/>
                <w:color w:val="auto"/>
              </w:rPr>
              <w:t xml:space="preserve"> </w:t>
            </w:r>
            <w:r>
              <w:rPr>
                <w:rFonts w:ascii="宋体" w:hAnsi="宋体"/>
                <w:b/>
                <w:bCs/>
                <w:color w:val="auto"/>
              </w:rPr>
              <w:t>与川长江办</w:t>
            </w:r>
            <w:r>
              <w:rPr>
                <w:rFonts w:ascii="Times New Roman" w:hAnsi="Times New Roman"/>
                <w:b/>
                <w:bCs/>
                <w:color w:val="auto"/>
              </w:rPr>
              <w:t>[2019]8</w:t>
            </w:r>
            <w:r>
              <w:rPr>
                <w:rFonts w:ascii="宋体" w:hAnsi="宋体"/>
                <w:b/>
                <w:bCs/>
                <w:color w:val="auto"/>
              </w:rPr>
              <w:t>号符合性分析</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1"/>
              <w:gridCol w:w="4451"/>
              <w:gridCol w:w="2491"/>
              <w:gridCol w:w="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98" w:type="dxa"/>
                  <w:tcBorders>
                    <w:top w:val="single" w:color="auto" w:sz="12" w:space="0"/>
                    <w:left w:val="nil"/>
                    <w:bottom w:val="single" w:color="auto" w:sz="4" w:space="0"/>
                    <w:right w:val="single" w:color="auto" w:sz="4" w:space="0"/>
                  </w:tcBorders>
                  <w:shd w:val="clear" w:color="auto" w:fill="DCE6F2"/>
                  <w:noWrap w:val="0"/>
                  <w:vAlign w:val="center"/>
                </w:tcPr>
                <w:p>
                  <w:pPr>
                    <w:adjustRightInd w:val="0"/>
                    <w:snapToGrid w:val="0"/>
                    <w:jc w:val="center"/>
                    <w:rPr>
                      <w:rFonts w:ascii="Times New Roman" w:hAnsi="Times New Roman"/>
                      <w:b/>
                      <w:bCs/>
                      <w:color w:val="auto"/>
                    </w:rPr>
                  </w:pPr>
                  <w:r>
                    <w:rPr>
                      <w:rFonts w:ascii="宋体" w:hAnsi="宋体"/>
                      <w:b/>
                      <w:bCs/>
                      <w:color w:val="auto"/>
                    </w:rPr>
                    <w:t>序号</w:t>
                  </w:r>
                </w:p>
              </w:tc>
              <w:tc>
                <w:tcPr>
                  <w:tcW w:w="4255" w:type="dxa"/>
                  <w:tcBorders>
                    <w:top w:val="single" w:color="auto" w:sz="12" w:space="0"/>
                    <w:left w:val="single" w:color="auto" w:sz="4" w:space="0"/>
                    <w:bottom w:val="single" w:color="auto" w:sz="4" w:space="0"/>
                    <w:right w:val="single" w:color="auto" w:sz="4" w:space="0"/>
                  </w:tcBorders>
                  <w:shd w:val="clear" w:color="auto" w:fill="DCE6F2"/>
                  <w:noWrap w:val="0"/>
                  <w:vAlign w:val="center"/>
                </w:tcPr>
                <w:p>
                  <w:pPr>
                    <w:adjustRightInd w:val="0"/>
                    <w:snapToGrid w:val="0"/>
                    <w:jc w:val="center"/>
                    <w:rPr>
                      <w:rFonts w:ascii="Times New Roman" w:hAnsi="Times New Roman"/>
                      <w:b/>
                      <w:bCs/>
                      <w:color w:val="auto"/>
                    </w:rPr>
                  </w:pPr>
                  <w:r>
                    <w:rPr>
                      <w:rFonts w:ascii="宋体" w:hAnsi="宋体"/>
                      <w:b/>
                      <w:bCs/>
                      <w:color w:val="auto"/>
                    </w:rPr>
                    <w:t>文件中要求</w:t>
                  </w:r>
                </w:p>
              </w:tc>
              <w:tc>
                <w:tcPr>
                  <w:tcW w:w="2381" w:type="dxa"/>
                  <w:tcBorders>
                    <w:top w:val="single" w:color="auto" w:sz="12" w:space="0"/>
                    <w:left w:val="single" w:color="auto" w:sz="4" w:space="0"/>
                    <w:bottom w:val="single" w:color="auto" w:sz="4" w:space="0"/>
                    <w:right w:val="single" w:color="auto" w:sz="4" w:space="0"/>
                  </w:tcBorders>
                  <w:shd w:val="clear" w:color="auto" w:fill="DCE6F2"/>
                  <w:noWrap w:val="0"/>
                  <w:vAlign w:val="center"/>
                </w:tcPr>
                <w:p>
                  <w:pPr>
                    <w:adjustRightInd w:val="0"/>
                    <w:snapToGrid w:val="0"/>
                    <w:jc w:val="center"/>
                    <w:rPr>
                      <w:rFonts w:ascii="Times New Roman" w:hAnsi="Times New Roman"/>
                      <w:b/>
                      <w:bCs/>
                      <w:color w:val="auto"/>
                    </w:rPr>
                  </w:pPr>
                  <w:r>
                    <w:rPr>
                      <w:rFonts w:ascii="宋体" w:hAnsi="宋体"/>
                      <w:b/>
                      <w:bCs/>
                      <w:color w:val="auto"/>
                    </w:rPr>
                    <w:t>本项目情况</w:t>
                  </w:r>
                </w:p>
              </w:tc>
              <w:tc>
                <w:tcPr>
                  <w:tcW w:w="704" w:type="dxa"/>
                  <w:tcBorders>
                    <w:top w:val="single" w:color="auto" w:sz="12" w:space="0"/>
                    <w:left w:val="single" w:color="auto" w:sz="4" w:space="0"/>
                    <w:bottom w:val="single" w:color="auto" w:sz="4" w:space="0"/>
                    <w:right w:val="nil"/>
                  </w:tcBorders>
                  <w:shd w:val="clear" w:color="auto" w:fill="DCE6F2"/>
                  <w:noWrap w:val="0"/>
                  <w:vAlign w:val="center"/>
                </w:tcPr>
                <w:p>
                  <w:pPr>
                    <w:adjustRightInd w:val="0"/>
                    <w:snapToGrid w:val="0"/>
                    <w:jc w:val="center"/>
                    <w:rPr>
                      <w:rFonts w:ascii="Times New Roman" w:hAnsi="Times New Roman"/>
                      <w:b/>
                      <w:bCs/>
                      <w:color w:val="auto"/>
                    </w:rPr>
                  </w:pPr>
                  <w:r>
                    <w:rPr>
                      <w:rFonts w:ascii="宋体" w:hAnsi="宋体"/>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hAnsi="Times New Roman"/>
                      <w:color w:val="auto"/>
                    </w:rPr>
                  </w:pPr>
                  <w:r>
                    <w:rPr>
                      <w:rFonts w:ascii="Times New Roman" w:hAnsi="Times New Roman"/>
                      <w:color w:val="auto"/>
                    </w:rPr>
                    <w:t>1</w:t>
                  </w:r>
                </w:p>
              </w:tc>
              <w:tc>
                <w:tcPr>
                  <w:tcW w:w="42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auto"/>
                    </w:rPr>
                  </w:pPr>
                  <w:r>
                    <w:rPr>
                      <w:rFonts w:ascii="宋体" w:hAnsi="宋体"/>
                      <w:color w:val="auto"/>
                    </w:rPr>
                    <w:t>第八条：禁止在自然保护区核心区、缓冲区的岸线和河段范围内投资建设旅游和生产经营项目。禁止在自然保护区内进行砍伐、放牧、狩猎、捕捞、采药、开垦、烧荒、开矿、采石、挖沙等活动</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both"/>
                    <w:rPr>
                      <w:rFonts w:ascii="Times New Roman" w:hAnsi="Times New Roman"/>
                      <w:color w:val="auto"/>
                    </w:rPr>
                  </w:pPr>
                  <w:r>
                    <w:rPr>
                      <w:rFonts w:ascii="宋体" w:hAnsi="宋体"/>
                      <w:color w:val="auto"/>
                    </w:rPr>
                    <w:t>本项目位于</w:t>
                  </w:r>
                  <w:r>
                    <w:rPr>
                      <w:rFonts w:hint="eastAsia"/>
                      <w:color w:val="auto"/>
                    </w:rPr>
                    <w:t>乐山市犍为县舞雩镇石马坝工业园区</w:t>
                  </w:r>
                  <w:r>
                    <w:rPr>
                      <w:rFonts w:ascii="宋体" w:hAnsi="宋体"/>
                      <w:color w:val="auto"/>
                    </w:rPr>
                    <w:t>，</w:t>
                  </w:r>
                  <w:r>
                    <w:rPr>
                      <w:rFonts w:ascii="Times New Roman" w:hAnsi="Times New Roman"/>
                      <w:bCs/>
                      <w:color w:val="auto"/>
                      <w:kern w:val="0"/>
                      <w:szCs w:val="24"/>
                    </w:rPr>
                    <w:t>为过渡保留区内</w:t>
                  </w:r>
                  <w:r>
                    <w:rPr>
                      <w:rFonts w:hint="eastAsia" w:ascii="Times New Roman" w:hAnsi="Times New Roman"/>
                      <w:bCs/>
                      <w:color w:val="auto"/>
                      <w:kern w:val="0"/>
                      <w:szCs w:val="24"/>
                    </w:rPr>
                    <w:t>已</w:t>
                  </w:r>
                  <w:r>
                    <w:rPr>
                      <w:rFonts w:ascii="Times New Roman" w:hAnsi="Times New Roman"/>
                      <w:bCs/>
                      <w:color w:val="auto"/>
                      <w:kern w:val="0"/>
                      <w:szCs w:val="24"/>
                    </w:rPr>
                    <w:t>有企业，不在保护区范围内</w:t>
                  </w:r>
                  <w:r>
                    <w:rPr>
                      <w:rFonts w:ascii="宋体" w:hAnsi="宋体"/>
                      <w:color w:val="auto"/>
                    </w:rPr>
                    <w:t>，</w:t>
                  </w:r>
                  <w:r>
                    <w:rPr>
                      <w:rFonts w:ascii="Times New Roman" w:hAnsi="Times New Roman"/>
                      <w:bCs/>
                      <w:color w:val="auto"/>
                      <w:kern w:val="0"/>
                      <w:szCs w:val="24"/>
                    </w:rPr>
                    <w:t>且公司加强环境管理，能够确保污染物长期达标排放，本次技改不新增排污量。因此，项目建设对犍为县饮用水</w:t>
                  </w:r>
                  <w:r>
                    <w:rPr>
                      <w:rFonts w:hint="eastAsia"/>
                      <w:bCs/>
                      <w:color w:val="auto"/>
                      <w:kern w:val="0"/>
                      <w:szCs w:val="24"/>
                      <w:lang w:val="en-US" w:eastAsia="zh-CN"/>
                    </w:rPr>
                    <w:t>源</w:t>
                  </w:r>
                  <w:r>
                    <w:rPr>
                      <w:rFonts w:ascii="Times New Roman" w:hAnsi="Times New Roman"/>
                      <w:bCs/>
                      <w:color w:val="auto"/>
                      <w:kern w:val="0"/>
                      <w:szCs w:val="24"/>
                    </w:rPr>
                    <w:t>保护区无影响。</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hint="eastAsia" w:ascii="Times New Roman" w:hAnsi="Times New Roman"/>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hAnsi="Times New Roman"/>
                      <w:color w:val="auto"/>
                    </w:rPr>
                  </w:pPr>
                  <w:r>
                    <w:rPr>
                      <w:rFonts w:ascii="Times New Roman" w:hAnsi="Times New Roman"/>
                      <w:color w:val="auto"/>
                    </w:rPr>
                    <w:t>2</w:t>
                  </w:r>
                </w:p>
              </w:tc>
              <w:tc>
                <w:tcPr>
                  <w:tcW w:w="42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auto"/>
                    </w:rPr>
                  </w:pPr>
                  <w:r>
                    <w:rPr>
                      <w:rFonts w:ascii="宋体" w:hAnsi="宋体"/>
                      <w:color w:val="auto"/>
                    </w:rPr>
                    <w:t>第九条：禁止违反风景名胜区规划，在风景名胜区内设立各类开发区；禁止在风景名胜区核心景区的岸线和河段范围内建设宾馆、招待所、培训中心、疗养院以及与风景名胜资源保护无关的其他建筑物。</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auto"/>
                    </w:rPr>
                  </w:pPr>
                  <w:r>
                    <w:rPr>
                      <w:rFonts w:ascii="宋体" w:hAnsi="宋体"/>
                      <w:color w:val="auto"/>
                    </w:rPr>
                    <w:t>本项目位于</w:t>
                  </w:r>
                  <w:r>
                    <w:rPr>
                      <w:rFonts w:hint="eastAsia"/>
                      <w:color w:val="auto"/>
                    </w:rPr>
                    <w:t>乐山市犍为县舞雩镇石马坝工业园区</w:t>
                  </w:r>
                  <w:r>
                    <w:rPr>
                      <w:rFonts w:ascii="宋体" w:hAnsi="宋体"/>
                      <w:color w:val="auto"/>
                    </w:rPr>
                    <w:t>，不在</w:t>
                  </w:r>
                  <w:r>
                    <w:rPr>
                      <w:rFonts w:hint="eastAsia" w:ascii="宋体" w:hAnsi="宋体"/>
                      <w:color w:val="auto"/>
                      <w:lang w:eastAsia="zh-CN"/>
                    </w:rPr>
                    <w:t>风景名胜</w:t>
                  </w:r>
                  <w:r>
                    <w:rPr>
                      <w:rFonts w:ascii="宋体" w:hAnsi="宋体"/>
                      <w:color w:val="auto"/>
                    </w:rPr>
                    <w:t>区内</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hAnsi="Times New Roman"/>
                      <w:color w:val="auto"/>
                    </w:rPr>
                  </w:pPr>
                  <w:r>
                    <w:rPr>
                      <w:rFonts w:ascii="Times New Roman" w:hAnsi="Times New Roman"/>
                      <w:color w:val="auto"/>
                    </w:rPr>
                    <w:t>3</w:t>
                  </w:r>
                </w:p>
              </w:tc>
              <w:tc>
                <w:tcPr>
                  <w:tcW w:w="42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auto"/>
                    </w:rPr>
                  </w:pPr>
                  <w:r>
                    <w:rPr>
                      <w:rFonts w:ascii="宋体" w:hAnsi="宋体"/>
                      <w:color w:val="auto"/>
                    </w:rPr>
                    <w:t>第十条：禁止在饮用水水源准保护区的岸线和河段范围内新建、扩建对水体污染严重的建设项目；改建建设项目不得增加排污量。禁止在饮用水水源准保护区的岸线和河段范围内设置化工原料、矿物油类及有毒有害矿产品的贮存场所，以及生活垃圾、工业固体废物和危险废物的堆放场所和转运站。</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auto"/>
                    </w:rPr>
                  </w:pPr>
                  <w:r>
                    <w:rPr>
                      <w:rFonts w:ascii="宋体" w:hAnsi="宋体"/>
                      <w:color w:val="auto"/>
                    </w:rPr>
                    <w:t>本项目为</w:t>
                  </w:r>
                  <w:r>
                    <w:rPr>
                      <w:rFonts w:hint="eastAsia" w:ascii="宋体" w:hAnsi="宋体"/>
                      <w:color w:val="auto"/>
                      <w:lang w:eastAsia="zh-CN"/>
                    </w:rPr>
                    <w:t>技改</w:t>
                  </w:r>
                  <w:r>
                    <w:rPr>
                      <w:rFonts w:ascii="宋体" w:hAnsi="宋体"/>
                      <w:color w:val="auto"/>
                    </w:rPr>
                    <w:t>项目，</w:t>
                  </w:r>
                  <w:r>
                    <w:rPr>
                      <w:rFonts w:ascii="Times New Roman" w:hAnsi="Times New Roman"/>
                      <w:bCs/>
                      <w:color w:val="auto"/>
                      <w:kern w:val="0"/>
                      <w:szCs w:val="24"/>
                    </w:rPr>
                    <w:t>为过渡保留区内</w:t>
                  </w:r>
                  <w:r>
                    <w:rPr>
                      <w:rFonts w:hint="eastAsia" w:ascii="Times New Roman" w:hAnsi="Times New Roman"/>
                      <w:bCs/>
                      <w:color w:val="auto"/>
                      <w:kern w:val="0"/>
                      <w:szCs w:val="24"/>
                    </w:rPr>
                    <w:t>已</w:t>
                  </w:r>
                  <w:r>
                    <w:rPr>
                      <w:rFonts w:ascii="Times New Roman" w:hAnsi="Times New Roman"/>
                      <w:bCs/>
                      <w:color w:val="auto"/>
                      <w:kern w:val="0"/>
                      <w:szCs w:val="24"/>
                    </w:rPr>
                    <w:t>有企业，不在保护区范围内，且公司加强环境管理，能够确保污染物长期达标排放，本次技改不新增排污量。因此，项目建设对犍为县饮用水</w:t>
                  </w:r>
                  <w:r>
                    <w:rPr>
                      <w:rFonts w:hint="eastAsia"/>
                      <w:bCs/>
                      <w:color w:val="auto"/>
                      <w:kern w:val="0"/>
                      <w:szCs w:val="24"/>
                      <w:lang w:val="en-US" w:eastAsia="zh-CN"/>
                    </w:rPr>
                    <w:t>源</w:t>
                  </w:r>
                  <w:r>
                    <w:rPr>
                      <w:rFonts w:ascii="Times New Roman" w:hAnsi="Times New Roman"/>
                      <w:bCs/>
                      <w:color w:val="auto"/>
                      <w:kern w:val="0"/>
                      <w:szCs w:val="24"/>
                    </w:rPr>
                    <w:t>保护区无影响。</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hAnsi="Times New Roman"/>
                      <w:color w:val="auto"/>
                    </w:rPr>
                  </w:pPr>
                  <w:r>
                    <w:rPr>
                      <w:rFonts w:ascii="Times New Roman" w:hAnsi="Times New Roman"/>
                      <w:color w:val="auto"/>
                    </w:rPr>
                    <w:t>4</w:t>
                  </w:r>
                </w:p>
              </w:tc>
              <w:tc>
                <w:tcPr>
                  <w:tcW w:w="42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auto"/>
                    </w:rPr>
                  </w:pPr>
                  <w:r>
                    <w:rPr>
                      <w:rFonts w:ascii="宋体" w:hAnsi="宋体"/>
                      <w:color w:val="auto"/>
                    </w:rPr>
                    <w:t>第十九条：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严禁不符合主体功能定位的各类开发活动，严禁任意改变用途。</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auto"/>
                    </w:rPr>
                  </w:pPr>
                  <w:r>
                    <w:rPr>
                      <w:rFonts w:ascii="宋体" w:hAnsi="宋体"/>
                      <w:color w:val="auto"/>
                    </w:rPr>
                    <w:t>对比《四川省人民政府关于印发四川省生态保护红线方案的通知》（川府发</w:t>
                  </w:r>
                  <w:r>
                    <w:rPr>
                      <w:rFonts w:ascii="Times New Roman" w:hAnsi="Times New Roman"/>
                      <w:color w:val="auto"/>
                    </w:rPr>
                    <w:t>[2018]24</w:t>
                  </w:r>
                  <w:r>
                    <w:rPr>
                      <w:rFonts w:ascii="宋体" w:hAnsi="宋体"/>
                      <w:color w:val="auto"/>
                    </w:rPr>
                    <w:t>号）文件，本项目所在地不在划定的生态红线范围内。</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1"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hAnsi="Times New Roman"/>
                      <w:color w:val="auto"/>
                    </w:rPr>
                  </w:pPr>
                  <w:r>
                    <w:rPr>
                      <w:rFonts w:ascii="Times New Roman" w:hAnsi="Times New Roman"/>
                      <w:color w:val="auto"/>
                    </w:rPr>
                    <w:t>5</w:t>
                  </w:r>
                </w:p>
              </w:tc>
              <w:tc>
                <w:tcPr>
                  <w:tcW w:w="42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auto"/>
                    </w:rPr>
                  </w:pPr>
                  <w:r>
                    <w:rPr>
                      <w:rFonts w:ascii="宋体" w:hAnsi="宋体"/>
                      <w:color w:val="auto"/>
                    </w:rPr>
                    <w:t>第二十条：禁止占用永久基本农田，国家重大战略资源勘查、生态保护修复和环境治理、重大基础设施、军事国防以及农牧民基本生产生活等必要的民生项目（包括深度贫困地区、集中连片特困地区、国家扶贫开发工作重点县省级以下基础设施、异地扶贫搬迁、民生发展等建设项目），选址确实难以避让永久基本农田的，按程序严格论证后依法依规报批。</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auto"/>
                    </w:rPr>
                  </w:pPr>
                  <w:r>
                    <w:rPr>
                      <w:rFonts w:ascii="宋体" w:hAnsi="宋体"/>
                      <w:color w:val="auto"/>
                    </w:rPr>
                    <w:t>本项目</w:t>
                  </w:r>
                  <w:r>
                    <w:rPr>
                      <w:rFonts w:hint="eastAsia" w:ascii="宋体" w:hAnsi="宋体"/>
                      <w:color w:val="auto"/>
                    </w:rPr>
                    <w:t>用地</w:t>
                  </w:r>
                  <w:r>
                    <w:rPr>
                      <w:rFonts w:ascii="宋体" w:hAnsi="宋体"/>
                      <w:color w:val="auto"/>
                    </w:rPr>
                    <w:t>为</w:t>
                  </w:r>
                  <w:r>
                    <w:rPr>
                      <w:rFonts w:hint="eastAsia" w:ascii="宋体" w:hAnsi="宋体"/>
                      <w:color w:val="auto"/>
                      <w:lang w:eastAsia="zh-CN"/>
                    </w:rPr>
                    <w:t>工业</w:t>
                  </w:r>
                  <w:r>
                    <w:rPr>
                      <w:rFonts w:hint="eastAsia" w:ascii="宋体" w:hAnsi="宋体"/>
                      <w:color w:val="auto"/>
                    </w:rPr>
                    <w:t>用地，不占用基本农田</w:t>
                  </w:r>
                  <w:r>
                    <w:rPr>
                      <w:rFonts w:ascii="宋体" w:hAnsi="宋体"/>
                      <w:color w:val="auto"/>
                    </w:rPr>
                    <w:t>。</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color w:val="auto"/>
                    </w:rPr>
                  </w:pPr>
                  <w:r>
                    <w:rPr>
                      <w:rFonts w:ascii="宋体" w:hAnsi="宋体"/>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498"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hAnsi="Times New Roman"/>
                      <w:color w:val="auto"/>
                    </w:rPr>
                  </w:pPr>
                  <w:r>
                    <w:rPr>
                      <w:rFonts w:ascii="Times New Roman" w:hAnsi="Times New Roman"/>
                      <w:color w:val="auto"/>
                    </w:rPr>
                    <w:t>6</w:t>
                  </w:r>
                </w:p>
              </w:tc>
              <w:tc>
                <w:tcPr>
                  <w:tcW w:w="42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auto"/>
                    </w:rPr>
                  </w:pPr>
                  <w:r>
                    <w:rPr>
                      <w:rFonts w:ascii="宋体" w:hAnsi="宋体"/>
                      <w:color w:val="auto"/>
                    </w:rPr>
                    <w:t>第二十五条：禁止新建、扩建法律法规和相关政策命令禁止的落后产能项目。对《产业结构调整指导目录》中淘汰类项目，禁止投资；限制类的新建项目，禁止投资，对属于限制类的现有生产能力，允许企业在一定期限内采取措施改造升级。</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auto"/>
                    </w:rPr>
                  </w:pPr>
                  <w:r>
                    <w:rPr>
                      <w:rFonts w:ascii="宋体" w:hAnsi="宋体"/>
                      <w:color w:val="auto"/>
                    </w:rPr>
                    <w:t>本项目</w:t>
                  </w:r>
                  <w:r>
                    <w:rPr>
                      <w:rFonts w:hint="eastAsia" w:ascii="宋体" w:hAnsi="宋体"/>
                      <w:color w:val="auto"/>
                    </w:rPr>
                    <w:t>属于</w:t>
                  </w:r>
                  <w:r>
                    <w:rPr>
                      <w:rFonts w:ascii="宋体" w:hAnsi="宋体"/>
                      <w:color w:val="auto"/>
                    </w:rPr>
                    <w:t>《产业结构调整指导目录（</w:t>
                  </w:r>
                  <w:r>
                    <w:rPr>
                      <w:color w:val="auto"/>
                    </w:rPr>
                    <w:t>2019</w:t>
                  </w:r>
                  <w:r>
                    <w:rPr>
                      <w:rFonts w:ascii="宋体" w:hAnsi="宋体"/>
                      <w:color w:val="auto"/>
                    </w:rPr>
                    <w:t>年本）》</w:t>
                  </w:r>
                  <w:r>
                    <w:rPr>
                      <w:rFonts w:hint="eastAsia" w:ascii="宋体" w:hAnsi="宋体"/>
                      <w:color w:val="auto"/>
                    </w:rPr>
                    <w:t>中的鼓励类项目，</w:t>
                  </w:r>
                  <w:r>
                    <w:rPr>
                      <w:rFonts w:ascii="宋体" w:hAnsi="宋体"/>
                      <w:color w:val="auto"/>
                    </w:rPr>
                    <w:t>符合国家现行产业政策</w:t>
                  </w:r>
                </w:p>
              </w:tc>
              <w:tc>
                <w:tcPr>
                  <w:tcW w:w="704"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color w:val="auto"/>
                    </w:rPr>
                  </w:pPr>
                  <w:r>
                    <w:rPr>
                      <w:rFonts w:ascii="宋体" w:hAnsi="宋体"/>
                      <w:color w:val="auto"/>
                    </w:rPr>
                    <w:t>符合</w:t>
                  </w:r>
                </w:p>
              </w:tc>
            </w:tr>
          </w:tbl>
          <w:p>
            <w:pPr>
              <w:spacing w:line="360" w:lineRule="auto"/>
              <w:ind w:firstLine="480" w:firstLineChars="200"/>
              <w:rPr>
                <w:rFonts w:ascii="Times New Roman" w:hAnsi="Times New Roman"/>
                <w:b/>
                <w:color w:val="auto"/>
                <w:sz w:val="24"/>
                <w:szCs w:val="24"/>
              </w:rPr>
            </w:pPr>
            <w:r>
              <w:rPr>
                <w:rFonts w:ascii="宋体" w:hAnsi="宋体"/>
                <w:bCs/>
                <w:color w:val="auto"/>
                <w:sz w:val="24"/>
                <w:szCs w:val="32"/>
              </w:rPr>
              <w:t>从上表可知，本项目符合</w:t>
            </w:r>
            <w:r>
              <w:rPr>
                <w:rFonts w:ascii="宋体" w:hAnsi="宋体"/>
                <w:color w:val="auto"/>
                <w:sz w:val="24"/>
                <w:szCs w:val="32"/>
              </w:rPr>
              <w:t>《四川省推动长江经济带发展领导小组办公室关于印发四川省长江经济带发展负面清单实施细则（试行）的通知》（川长江办</w:t>
            </w:r>
            <w:r>
              <w:rPr>
                <w:rFonts w:ascii="Times New Roman" w:hAnsi="Times New Roman"/>
                <w:color w:val="auto"/>
                <w:sz w:val="24"/>
                <w:szCs w:val="32"/>
              </w:rPr>
              <w:t>[2019]8</w:t>
            </w:r>
            <w:r>
              <w:rPr>
                <w:rFonts w:ascii="宋体" w:hAnsi="宋体"/>
                <w:color w:val="auto"/>
                <w:sz w:val="24"/>
                <w:szCs w:val="32"/>
              </w:rPr>
              <w:t>）号）</w:t>
            </w:r>
            <w:r>
              <w:rPr>
                <w:rFonts w:hint="eastAsia" w:ascii="宋体" w:hAnsi="宋体"/>
                <w:color w:val="auto"/>
                <w:sz w:val="24"/>
                <w:szCs w:val="32"/>
                <w:lang w:eastAsia="zh-CN"/>
              </w:rPr>
              <w:t>、</w:t>
            </w:r>
            <w:r>
              <w:rPr>
                <w:rFonts w:hint="eastAsia" w:cs="Times New Roman"/>
                <w:b w:val="0"/>
                <w:bCs w:val="0"/>
                <w:color w:val="auto"/>
                <w:sz w:val="24"/>
                <w:szCs w:val="24"/>
                <w:lang w:eastAsia="zh-CN"/>
              </w:rPr>
              <w:t>《长江经济带发展负面清单指南》（试行，2022年版）</w:t>
            </w:r>
            <w:r>
              <w:rPr>
                <w:rFonts w:ascii="宋体" w:hAnsi="宋体"/>
                <w:color w:val="auto"/>
                <w:sz w:val="24"/>
                <w:szCs w:val="32"/>
              </w:rPr>
              <w:t>中相关规定要求。</w:t>
            </w:r>
          </w:p>
          <w:p>
            <w:pPr>
              <w:spacing w:line="360" w:lineRule="auto"/>
              <w:rPr>
                <w:rFonts w:ascii="Times New Roman" w:hAnsi="Times New Roman" w:cs="Calibri"/>
                <w:b/>
                <w:bCs/>
                <w:color w:val="auto"/>
                <w:sz w:val="24"/>
                <w:szCs w:val="24"/>
              </w:rPr>
            </w:pPr>
            <w:r>
              <w:rPr>
                <w:rFonts w:hint="eastAsia" w:ascii="宋体" w:hAnsi="宋体"/>
                <w:b/>
                <w:bCs/>
                <w:color w:val="auto"/>
                <w:sz w:val="24"/>
                <w:szCs w:val="24"/>
                <w:lang w:eastAsia="zh-CN"/>
              </w:rPr>
              <w:t>四、</w:t>
            </w:r>
            <w:r>
              <w:rPr>
                <w:rFonts w:hint="eastAsia" w:ascii="宋体" w:hAnsi="宋体"/>
                <w:b/>
                <w:bCs/>
                <w:color w:val="auto"/>
                <w:sz w:val="24"/>
                <w:szCs w:val="24"/>
              </w:rPr>
              <w:t>与大气污染防治等相关规划的符合性</w:t>
            </w:r>
          </w:p>
          <w:p>
            <w:pPr>
              <w:adjustRightInd w:val="0"/>
              <w:snapToGrid w:val="0"/>
              <w:spacing w:line="360" w:lineRule="auto"/>
              <w:jc w:val="center"/>
              <w:rPr>
                <w:rFonts w:hint="eastAsia" w:ascii="Times New Roman" w:hAnsi="Times New Roman"/>
                <w:b/>
                <w:color w:val="auto"/>
                <w:sz w:val="21"/>
                <w:szCs w:val="21"/>
              </w:rPr>
            </w:pPr>
            <w:r>
              <w:rPr>
                <w:rFonts w:ascii="宋体" w:hAnsi="宋体"/>
                <w:b/>
                <w:color w:val="auto"/>
                <w:sz w:val="21"/>
                <w:szCs w:val="21"/>
              </w:rPr>
              <w:t>表</w:t>
            </w:r>
            <w:r>
              <w:rPr>
                <w:rFonts w:ascii="Times New Roman" w:hAnsi="Times New Roman"/>
                <w:b/>
                <w:color w:val="auto"/>
                <w:sz w:val="21"/>
                <w:szCs w:val="21"/>
              </w:rPr>
              <w:t>1-</w:t>
            </w:r>
            <w:r>
              <w:rPr>
                <w:rFonts w:hint="eastAsia" w:ascii="Times New Roman" w:hAnsi="Times New Roman"/>
                <w:b/>
                <w:color w:val="auto"/>
                <w:sz w:val="21"/>
                <w:szCs w:val="21"/>
                <w:lang w:val="en-US" w:eastAsia="zh-CN"/>
              </w:rPr>
              <w:t>6</w:t>
            </w:r>
            <w:r>
              <w:rPr>
                <w:rFonts w:ascii="Times New Roman" w:hAnsi="Times New Roman"/>
                <w:b/>
                <w:color w:val="auto"/>
                <w:sz w:val="21"/>
                <w:szCs w:val="21"/>
              </w:rPr>
              <w:t xml:space="preserve">  </w:t>
            </w:r>
            <w:r>
              <w:rPr>
                <w:rFonts w:ascii="宋体" w:hAnsi="宋体"/>
                <w:b/>
                <w:color w:val="auto"/>
                <w:sz w:val="21"/>
                <w:szCs w:val="21"/>
              </w:rPr>
              <w:t>与大气污染防治等相关规划符合性</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3358"/>
              <w:gridCol w:w="2613"/>
              <w:gridCol w:w="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op w:val="single" w:color="auto" w:sz="12" w:space="0"/>
                    <w:left w:val="nil"/>
                    <w:bottom w:val="single" w:color="auto" w:sz="4" w:space="0"/>
                    <w:right w:val="single" w:color="auto" w:sz="4" w:space="0"/>
                  </w:tcBorders>
                  <w:shd w:val="clear" w:color="auto" w:fill="DCE6F2"/>
                  <w:noWrap w:val="0"/>
                  <w:vAlign w:val="center"/>
                </w:tcPr>
                <w:p>
                  <w:pPr>
                    <w:jc w:val="center"/>
                    <w:rPr>
                      <w:rFonts w:ascii="Times New Roman" w:hAnsi="Times New Roman"/>
                      <w:b/>
                      <w:bCs/>
                      <w:color w:val="auto"/>
                      <w:szCs w:val="21"/>
                    </w:rPr>
                  </w:pPr>
                  <w:r>
                    <w:rPr>
                      <w:rFonts w:ascii="宋体" w:hAnsi="宋体"/>
                      <w:b/>
                      <w:bCs/>
                      <w:color w:val="auto"/>
                      <w:szCs w:val="21"/>
                    </w:rPr>
                    <w:t>文件名称</w:t>
                  </w:r>
                </w:p>
              </w:tc>
              <w:tc>
                <w:tcPr>
                  <w:tcW w:w="2046" w:type="pct"/>
                  <w:tcBorders>
                    <w:top w:val="single" w:color="auto" w:sz="12" w:space="0"/>
                    <w:left w:val="single" w:color="auto" w:sz="4" w:space="0"/>
                    <w:bottom w:val="single" w:color="auto" w:sz="4" w:space="0"/>
                    <w:right w:val="single" w:color="auto" w:sz="4" w:space="0"/>
                  </w:tcBorders>
                  <w:shd w:val="clear" w:color="auto" w:fill="DCE6F2"/>
                  <w:noWrap w:val="0"/>
                  <w:vAlign w:val="center"/>
                </w:tcPr>
                <w:p>
                  <w:pPr>
                    <w:jc w:val="center"/>
                    <w:rPr>
                      <w:rFonts w:ascii="Times New Roman" w:hAnsi="Times New Roman"/>
                      <w:b/>
                      <w:bCs/>
                      <w:color w:val="auto"/>
                      <w:szCs w:val="21"/>
                    </w:rPr>
                  </w:pPr>
                  <w:r>
                    <w:rPr>
                      <w:rFonts w:ascii="宋体" w:hAnsi="宋体"/>
                      <w:b/>
                      <w:bCs/>
                      <w:color w:val="auto"/>
                      <w:szCs w:val="21"/>
                    </w:rPr>
                    <w:t>规范文件相关内容</w:t>
                  </w:r>
                </w:p>
              </w:tc>
              <w:tc>
                <w:tcPr>
                  <w:tcW w:w="1592" w:type="pct"/>
                  <w:tcBorders>
                    <w:top w:val="single" w:color="auto" w:sz="12" w:space="0"/>
                    <w:left w:val="single" w:color="auto" w:sz="4" w:space="0"/>
                    <w:bottom w:val="single" w:color="auto" w:sz="4" w:space="0"/>
                    <w:right w:val="single" w:color="auto" w:sz="4" w:space="0"/>
                  </w:tcBorders>
                  <w:shd w:val="clear" w:color="auto" w:fill="DCE6F2"/>
                  <w:noWrap w:val="0"/>
                  <w:vAlign w:val="center"/>
                </w:tcPr>
                <w:p>
                  <w:pPr>
                    <w:jc w:val="center"/>
                    <w:rPr>
                      <w:rFonts w:ascii="Times New Roman" w:hAnsi="Times New Roman"/>
                      <w:b/>
                      <w:bCs/>
                      <w:color w:val="auto"/>
                      <w:szCs w:val="21"/>
                    </w:rPr>
                  </w:pPr>
                  <w:r>
                    <w:rPr>
                      <w:rFonts w:ascii="宋体" w:hAnsi="宋体"/>
                      <w:b/>
                      <w:bCs/>
                      <w:color w:val="auto"/>
                      <w:szCs w:val="21"/>
                    </w:rPr>
                    <w:t>本项目采取的防治措施</w:t>
                  </w:r>
                </w:p>
              </w:tc>
              <w:tc>
                <w:tcPr>
                  <w:tcW w:w="355" w:type="pct"/>
                  <w:tcBorders>
                    <w:top w:val="single" w:color="auto" w:sz="12" w:space="0"/>
                    <w:left w:val="single" w:color="auto" w:sz="4" w:space="0"/>
                    <w:bottom w:val="single" w:color="auto" w:sz="4" w:space="0"/>
                    <w:right w:val="nil"/>
                  </w:tcBorders>
                  <w:shd w:val="clear" w:color="auto" w:fill="DCE6F2"/>
                  <w:noWrap w:val="0"/>
                  <w:vAlign w:val="center"/>
                </w:tcPr>
                <w:p>
                  <w:pPr>
                    <w:spacing w:line="240" w:lineRule="auto"/>
                    <w:jc w:val="center"/>
                    <w:rPr>
                      <w:rFonts w:ascii="Times New Roman" w:hAnsi="Times New Roman"/>
                      <w:b/>
                      <w:bCs/>
                      <w:color w:val="auto"/>
                      <w:szCs w:val="21"/>
                    </w:rPr>
                  </w:pPr>
                  <w:r>
                    <w:rPr>
                      <w:rFonts w:ascii="宋体" w:hAnsi="宋体"/>
                      <w:b/>
                      <w:bCs/>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《国务院关于印发大气污染防治行动计划的通知》（国发</w:t>
                  </w:r>
                  <w:r>
                    <w:rPr>
                      <w:rFonts w:ascii="Times New Roman" w:hAnsi="Times New Roman"/>
                      <w:color w:val="auto"/>
                      <w:szCs w:val="21"/>
                    </w:rPr>
                    <w:t>[2013]37</w:t>
                  </w:r>
                  <w:r>
                    <w:rPr>
                      <w:rFonts w:ascii="宋体" w:hAnsi="宋体"/>
                      <w:color w:val="auto"/>
                      <w:szCs w:val="21"/>
                    </w:rPr>
                    <w:t>号）</w:t>
                  </w:r>
                </w:p>
              </w:tc>
              <w:tc>
                <w:tcPr>
                  <w:tcW w:w="2046"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推进挥发性有机物污染治理。在石化、有机化工、表面涂装、包装印刷等行业实施挥发性有机物综合整治，在石化行业开展</w:t>
                  </w:r>
                  <w:r>
                    <w:rPr>
                      <w:rFonts w:ascii="Times New Roman" w:hAnsi="Times New Roman"/>
                      <w:color w:val="auto"/>
                      <w:szCs w:val="21"/>
                    </w:rPr>
                    <w:t>“</w:t>
                  </w:r>
                  <w:r>
                    <w:rPr>
                      <w:rFonts w:ascii="宋体" w:hAnsi="宋体"/>
                      <w:color w:val="auto"/>
                      <w:szCs w:val="21"/>
                    </w:rPr>
                    <w:t>泄漏检测与修复</w:t>
                  </w:r>
                  <w:r>
                    <w:rPr>
                      <w:rFonts w:ascii="Times New Roman" w:hAnsi="Times New Roman"/>
                      <w:color w:val="auto"/>
                      <w:szCs w:val="21"/>
                    </w:rPr>
                    <w:t>”</w:t>
                  </w:r>
                  <w:r>
                    <w:rPr>
                      <w:rFonts w:ascii="宋体" w:hAnsi="宋体"/>
                      <w:color w:val="auto"/>
                      <w:szCs w:val="21"/>
                    </w:rPr>
                    <w:t>技术改造。限时完成加油站、储油库、油罐车的油气回收治理，在原油成品油码头积极开展油气回收治理。完善涂料、胶粘剂等产品挥发性有机物限值标准，推广使用水性涂料，鼓励生产、销售和使用低毒、低挥发性有机溶剂。</w:t>
                  </w:r>
                </w:p>
              </w:tc>
              <w:tc>
                <w:tcPr>
                  <w:tcW w:w="1592"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严格按照《挥发性有机物无组织排放控制标准》（</w:t>
                  </w:r>
                  <w:r>
                    <w:rPr>
                      <w:rFonts w:ascii="Times New Roman" w:hAnsi="Times New Roman"/>
                      <w:color w:val="auto"/>
                      <w:szCs w:val="21"/>
                    </w:rPr>
                    <w:t>GB37822-2019</w:t>
                  </w:r>
                  <w:r>
                    <w:rPr>
                      <w:rFonts w:ascii="宋体" w:hAnsi="宋体"/>
                      <w:color w:val="auto"/>
                      <w:szCs w:val="21"/>
                    </w:rPr>
                    <w:t>）污染控制要求对项目的物料、转运以及生产过程实施全过程控制，最大程度降低挥发性有机物的无组织排放，有机废气经收集后分别进入相应废气处理装置进行处理后达标排放，挥发性有机物的排放得到有效控制。</w:t>
                  </w:r>
                </w:p>
              </w:tc>
              <w:tc>
                <w:tcPr>
                  <w:tcW w:w="355" w:type="pct"/>
                  <w:tcBorders>
                    <w:top w:val="single" w:color="auto" w:sz="4" w:space="0"/>
                    <w:left w:val="single" w:color="auto" w:sz="4" w:space="0"/>
                    <w:bottom w:val="single" w:color="auto" w:sz="4" w:space="0"/>
                    <w:right w:val="nil"/>
                  </w:tcBorders>
                  <w:noWrap w:val="0"/>
                  <w:vAlign w:val="center"/>
                </w:tcPr>
                <w:p>
                  <w:pPr>
                    <w:spacing w:line="360" w:lineRule="auto"/>
                    <w:jc w:val="center"/>
                    <w:rPr>
                      <w:rFonts w:ascii="Times New Roman" w:hAnsi="Times New Roman"/>
                      <w:color w:val="auto"/>
                      <w:szCs w:val="21"/>
                    </w:rPr>
                  </w:pPr>
                  <w:r>
                    <w:rPr>
                      <w:rFonts w:ascii="宋体"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《挥发性有机物（</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）污染防治技术政策》（</w:t>
                  </w:r>
                  <w:r>
                    <w:rPr>
                      <w:rFonts w:ascii="Times New Roman" w:hAnsi="Times New Roman"/>
                      <w:color w:val="auto"/>
                      <w:szCs w:val="21"/>
                    </w:rPr>
                    <w:t>2013</w:t>
                  </w:r>
                  <w:r>
                    <w:rPr>
                      <w:rFonts w:ascii="宋体" w:hAnsi="宋体"/>
                      <w:color w:val="auto"/>
                      <w:szCs w:val="21"/>
                    </w:rPr>
                    <w:t>年第</w:t>
                  </w:r>
                  <w:r>
                    <w:rPr>
                      <w:rFonts w:ascii="Times New Roman" w:hAnsi="Times New Roman"/>
                      <w:color w:val="auto"/>
                      <w:szCs w:val="21"/>
                    </w:rPr>
                    <w:t>31</w:t>
                  </w:r>
                  <w:r>
                    <w:rPr>
                      <w:rFonts w:ascii="宋体" w:hAnsi="宋体"/>
                      <w:color w:val="auto"/>
                      <w:szCs w:val="21"/>
                    </w:rPr>
                    <w:t>号公告）</w:t>
                  </w:r>
                </w:p>
              </w:tc>
              <w:tc>
                <w:tcPr>
                  <w:tcW w:w="2046" w:type="pct"/>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auto"/>
                      <w:szCs w:val="21"/>
                    </w:rPr>
                  </w:pPr>
                  <w:r>
                    <w:rPr>
                      <w:rFonts w:ascii="宋体" w:hAnsi="宋体"/>
                      <w:color w:val="auto"/>
                      <w:szCs w:val="21"/>
                    </w:rPr>
                    <w:t>二、源头和过程控制（九）涂料、油墨、</w:t>
                  </w:r>
                  <w:r>
                    <w:rPr>
                      <w:rFonts w:hint="eastAsia" w:ascii="Times New Roman" w:hAnsi="Times New Roman"/>
                      <w:color w:val="auto"/>
                      <w:szCs w:val="21"/>
                    </w:rPr>
                    <w:t>...</w:t>
                  </w:r>
                  <w:r>
                    <w:rPr>
                      <w:rFonts w:ascii="宋体" w:hAnsi="宋体"/>
                      <w:color w:val="auto"/>
                      <w:szCs w:val="21"/>
                    </w:rPr>
                    <w:t>（十五）对于含低浓度</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的废气，有回收价值时可采用吸附技术、吸收技术对有机溶剂回收后达标排放；不宜回收时，可采用吸附吸附浓缩燃烧技术、生物技术、吸收技术、等离子体技术或紫外光高级氧化技术等净化后达标排放。（十七）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1592"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本项目</w:t>
                  </w:r>
                  <w:r>
                    <w:rPr>
                      <w:rFonts w:hint="eastAsia" w:ascii="宋体" w:hAnsi="宋体"/>
                      <w:color w:val="auto"/>
                      <w:szCs w:val="21"/>
                    </w:rPr>
                    <w:t>封闭</w:t>
                  </w:r>
                  <w:r>
                    <w:rPr>
                      <w:rFonts w:ascii="宋体" w:hAnsi="宋体"/>
                      <w:color w:val="auto"/>
                      <w:szCs w:val="21"/>
                    </w:rPr>
                    <w:t>生产区，对生产过程中产生的废气</w:t>
                  </w:r>
                  <w:r>
                    <w:rPr>
                      <w:rFonts w:hint="eastAsia" w:ascii="宋体" w:hAnsi="宋体"/>
                      <w:color w:val="auto"/>
                      <w:szCs w:val="21"/>
                    </w:rPr>
                    <w:t>分类</w:t>
                  </w:r>
                  <w:r>
                    <w:rPr>
                      <w:rFonts w:ascii="宋体" w:hAnsi="宋体"/>
                      <w:color w:val="auto"/>
                      <w:szCs w:val="21"/>
                    </w:rPr>
                    <w:t>收集后处理。废气经布袋除尘器</w:t>
                  </w:r>
                  <w:r>
                    <w:rPr>
                      <w:rFonts w:ascii="Times New Roman" w:hAnsi="Times New Roman"/>
                      <w:color w:val="auto"/>
                      <w:szCs w:val="21"/>
                    </w:rPr>
                    <w:t>+</w:t>
                  </w:r>
                  <w:r>
                    <w:rPr>
                      <w:rFonts w:hint="eastAsia" w:ascii="宋体" w:hAnsi="宋体"/>
                      <w:color w:val="auto"/>
                      <w:szCs w:val="21"/>
                    </w:rPr>
                    <w:t>水膜</w:t>
                  </w:r>
                  <w:r>
                    <w:rPr>
                      <w:rFonts w:hint="eastAsia" w:ascii="Times New Roman" w:hAnsi="Times New Roman"/>
                      <w:color w:val="auto"/>
                      <w:szCs w:val="21"/>
                    </w:rPr>
                    <w:t>+</w:t>
                  </w:r>
                  <w:r>
                    <w:rPr>
                      <w:rFonts w:hint="eastAsia" w:ascii="宋体" w:hAnsi="宋体"/>
                      <w:color w:val="auto"/>
                      <w:szCs w:val="21"/>
                    </w:rPr>
                    <w:t>喷淋塔</w:t>
                  </w:r>
                  <w:r>
                    <w:rPr>
                      <w:rFonts w:hint="eastAsia" w:ascii="Times New Roman" w:hAnsi="Times New Roman"/>
                      <w:color w:val="auto"/>
                      <w:szCs w:val="21"/>
                    </w:rPr>
                    <w:t>+</w:t>
                  </w:r>
                  <w:r>
                    <w:rPr>
                      <w:rFonts w:ascii="Times New Roman" w:hAnsi="Times New Roman"/>
                      <w:color w:val="auto"/>
                      <w:szCs w:val="21"/>
                    </w:rPr>
                    <w:t>UV</w:t>
                  </w:r>
                  <w:r>
                    <w:rPr>
                      <w:rFonts w:ascii="宋体" w:hAnsi="宋体"/>
                      <w:color w:val="auto"/>
                      <w:szCs w:val="21"/>
                    </w:rPr>
                    <w:t>光解</w:t>
                  </w:r>
                  <w:r>
                    <w:rPr>
                      <w:rFonts w:ascii="Times New Roman" w:hAnsi="Times New Roman"/>
                      <w:color w:val="auto"/>
                      <w:szCs w:val="21"/>
                    </w:rPr>
                    <w:t>+</w:t>
                  </w:r>
                  <w:r>
                    <w:rPr>
                      <w:rFonts w:ascii="宋体" w:hAnsi="宋体"/>
                      <w:color w:val="auto"/>
                      <w:szCs w:val="21"/>
                    </w:rPr>
                    <w:t>低温等离子</w:t>
                  </w:r>
                  <w:r>
                    <w:rPr>
                      <w:rFonts w:ascii="Times New Roman" w:hAnsi="Times New Roman"/>
                      <w:color w:val="auto"/>
                      <w:szCs w:val="21"/>
                    </w:rPr>
                    <w:t>+</w:t>
                  </w:r>
                  <w:r>
                    <w:rPr>
                      <w:rFonts w:ascii="宋体" w:hAnsi="宋体"/>
                      <w:color w:val="auto"/>
                      <w:szCs w:val="21"/>
                    </w:rPr>
                    <w:t>二级活性炭吸附处理系统处理后，经</w:t>
                  </w:r>
                  <w:r>
                    <w:rPr>
                      <w:rFonts w:ascii="Times New Roman" w:hAnsi="Times New Roman"/>
                      <w:color w:val="auto"/>
                      <w:szCs w:val="21"/>
                    </w:rPr>
                    <w:t>15m</w:t>
                  </w:r>
                  <w:r>
                    <w:rPr>
                      <w:rFonts w:ascii="宋体" w:hAnsi="宋体"/>
                      <w:color w:val="auto"/>
                      <w:szCs w:val="21"/>
                    </w:rPr>
                    <w:t>排气筒高空排放。</w:t>
                  </w:r>
                </w:p>
              </w:tc>
              <w:tc>
                <w:tcPr>
                  <w:tcW w:w="355" w:type="pct"/>
                  <w:tcBorders>
                    <w:top w:val="single" w:color="auto" w:sz="4" w:space="0"/>
                    <w:left w:val="single" w:color="auto" w:sz="4" w:space="0"/>
                    <w:bottom w:val="single" w:color="auto" w:sz="4" w:space="0"/>
                    <w:right w:val="nil"/>
                  </w:tcBorders>
                  <w:noWrap w:val="0"/>
                  <w:vAlign w:val="center"/>
                </w:tcPr>
                <w:p>
                  <w:pPr>
                    <w:spacing w:line="360" w:lineRule="auto"/>
                    <w:jc w:val="center"/>
                    <w:rPr>
                      <w:rFonts w:ascii="Times New Roman" w:hAnsi="Times New Roman"/>
                      <w:color w:val="auto"/>
                      <w:szCs w:val="21"/>
                    </w:rPr>
                  </w:pPr>
                  <w:r>
                    <w:rPr>
                      <w:rFonts w:ascii="宋体"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w:t>
                  </w:r>
                  <w:r>
                    <w:rPr>
                      <w:rFonts w:ascii="Times New Roman" w:hAnsi="Times New Roman"/>
                      <w:color w:val="auto"/>
                      <w:szCs w:val="21"/>
                    </w:rPr>
                    <w:t>“</w:t>
                  </w:r>
                  <w:r>
                    <w:rPr>
                      <w:rFonts w:ascii="宋体" w:hAnsi="宋体"/>
                      <w:color w:val="auto"/>
                      <w:szCs w:val="21"/>
                    </w:rPr>
                    <w:t>十三五</w:t>
                  </w:r>
                  <w:r>
                    <w:rPr>
                      <w:rFonts w:ascii="Times New Roman" w:hAnsi="Times New Roman"/>
                      <w:color w:val="auto"/>
                      <w:szCs w:val="21"/>
                    </w:rPr>
                    <w:t>”</w:t>
                  </w:r>
                  <w:r>
                    <w:rPr>
                      <w:rFonts w:ascii="宋体" w:hAnsi="宋体"/>
                      <w:color w:val="auto"/>
                      <w:szCs w:val="21"/>
                    </w:rPr>
                    <w:t>挥发性有机物污染防治工作方案》（环大气</w:t>
                  </w:r>
                  <w:r>
                    <w:rPr>
                      <w:rFonts w:ascii="Times New Roman" w:hAnsi="Times New Roman"/>
                      <w:color w:val="auto"/>
                      <w:szCs w:val="21"/>
                    </w:rPr>
                    <w:t>[2017]121</w:t>
                  </w:r>
                  <w:r>
                    <w:rPr>
                      <w:rFonts w:ascii="宋体" w:hAnsi="宋体"/>
                      <w:color w:val="auto"/>
                      <w:szCs w:val="21"/>
                    </w:rPr>
                    <w:t>号）</w:t>
                  </w:r>
                </w:p>
              </w:tc>
              <w:tc>
                <w:tcPr>
                  <w:tcW w:w="2046" w:type="pct"/>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auto"/>
                      <w:szCs w:val="21"/>
                    </w:rPr>
                  </w:pPr>
                  <w:r>
                    <w:rPr>
                      <w:rFonts w:ascii="宋体" w:hAnsi="宋体"/>
                      <w:color w:val="auto"/>
                      <w:szCs w:val="21"/>
                    </w:rPr>
                    <w:t>（一）加大产业结构调整力度</w:t>
                  </w:r>
                </w:p>
                <w:p>
                  <w:pPr>
                    <w:rPr>
                      <w:rFonts w:ascii="Times New Roman" w:hAnsi="Times New Roman"/>
                      <w:color w:val="auto"/>
                      <w:szCs w:val="21"/>
                    </w:rPr>
                  </w:pPr>
                  <w:r>
                    <w:rPr>
                      <w:rFonts w:ascii="宋体" w:hAnsi="宋体"/>
                      <w:color w:val="auto"/>
                      <w:szCs w:val="21"/>
                    </w:rPr>
                    <w:t>新建涉</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排放的工业企业要入园区。新、改、扩建涉</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的排放项目，应从源头加强控制，使用低（无）</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含量的原辅材料，加强废气收集，安装高效治理设施。</w:t>
                  </w:r>
                </w:p>
              </w:tc>
              <w:tc>
                <w:tcPr>
                  <w:tcW w:w="1592"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本项目为技改项目，建设地点位于犍为县</w:t>
                  </w:r>
                  <w:r>
                    <w:rPr>
                      <w:rFonts w:hint="eastAsia" w:ascii="宋体" w:hAnsi="宋体"/>
                      <w:color w:val="auto"/>
                      <w:szCs w:val="21"/>
                    </w:rPr>
                    <w:t>舞雩镇</w:t>
                  </w:r>
                  <w:r>
                    <w:rPr>
                      <w:rFonts w:ascii="宋体" w:hAnsi="宋体"/>
                      <w:color w:val="auto"/>
                      <w:szCs w:val="21"/>
                    </w:rPr>
                    <w:t>石马坝工业园区内，项目废气经布袋除尘器</w:t>
                  </w:r>
                  <w:r>
                    <w:rPr>
                      <w:rFonts w:hint="eastAsia" w:ascii="Times New Roman" w:hAnsi="Times New Roman"/>
                      <w:color w:val="auto"/>
                      <w:szCs w:val="21"/>
                    </w:rPr>
                    <w:t>+</w:t>
                  </w:r>
                  <w:r>
                    <w:rPr>
                      <w:rFonts w:hint="eastAsia" w:ascii="宋体" w:hAnsi="宋体"/>
                      <w:color w:val="auto"/>
                      <w:szCs w:val="21"/>
                    </w:rPr>
                    <w:t>水膜</w:t>
                  </w:r>
                  <w:r>
                    <w:rPr>
                      <w:rFonts w:hint="eastAsia" w:ascii="Times New Roman" w:hAnsi="Times New Roman"/>
                      <w:color w:val="auto"/>
                      <w:szCs w:val="21"/>
                    </w:rPr>
                    <w:t>+</w:t>
                  </w:r>
                  <w:r>
                    <w:rPr>
                      <w:rFonts w:hint="eastAsia" w:ascii="宋体" w:hAnsi="宋体"/>
                      <w:color w:val="auto"/>
                      <w:szCs w:val="21"/>
                    </w:rPr>
                    <w:t>喷淋塔</w:t>
                  </w:r>
                  <w:r>
                    <w:rPr>
                      <w:rFonts w:hint="eastAsia" w:ascii="Times New Roman" w:hAnsi="Times New Roman"/>
                      <w:color w:val="auto"/>
                      <w:szCs w:val="21"/>
                    </w:rPr>
                    <w:t>+</w:t>
                  </w:r>
                  <w:r>
                    <w:rPr>
                      <w:rFonts w:ascii="Times New Roman" w:hAnsi="Times New Roman"/>
                      <w:color w:val="auto"/>
                      <w:szCs w:val="21"/>
                    </w:rPr>
                    <w:t>UV</w:t>
                  </w:r>
                  <w:r>
                    <w:rPr>
                      <w:rFonts w:ascii="宋体" w:hAnsi="宋体"/>
                      <w:color w:val="auto"/>
                      <w:szCs w:val="21"/>
                    </w:rPr>
                    <w:t>光氧</w:t>
                  </w:r>
                  <w:r>
                    <w:rPr>
                      <w:rFonts w:ascii="Times New Roman" w:hAnsi="Times New Roman"/>
                      <w:color w:val="auto"/>
                      <w:szCs w:val="21"/>
                    </w:rPr>
                    <w:t>+</w:t>
                  </w:r>
                  <w:r>
                    <w:rPr>
                      <w:rFonts w:ascii="宋体" w:hAnsi="宋体"/>
                      <w:color w:val="auto"/>
                      <w:szCs w:val="21"/>
                    </w:rPr>
                    <w:t>低温等离子</w:t>
                  </w:r>
                  <w:r>
                    <w:rPr>
                      <w:rFonts w:ascii="Times New Roman" w:hAnsi="Times New Roman"/>
                      <w:color w:val="auto"/>
                      <w:szCs w:val="21"/>
                    </w:rPr>
                    <w:t>+</w:t>
                  </w:r>
                  <w:r>
                    <w:rPr>
                      <w:rFonts w:ascii="宋体" w:hAnsi="宋体"/>
                      <w:color w:val="auto"/>
                      <w:szCs w:val="21"/>
                    </w:rPr>
                    <w:t>二级活性炭吸附处理达标后，经</w:t>
                  </w:r>
                  <w:r>
                    <w:rPr>
                      <w:rFonts w:ascii="Times New Roman" w:hAnsi="Times New Roman"/>
                      <w:color w:val="auto"/>
                      <w:szCs w:val="21"/>
                    </w:rPr>
                    <w:t>15m</w:t>
                  </w:r>
                  <w:r>
                    <w:rPr>
                      <w:rFonts w:ascii="宋体" w:hAnsi="宋体"/>
                      <w:color w:val="auto"/>
                      <w:szCs w:val="21"/>
                    </w:rPr>
                    <w:t>排气筒排放。</w:t>
                  </w:r>
                </w:p>
              </w:tc>
              <w:tc>
                <w:tcPr>
                  <w:tcW w:w="355" w:type="pct"/>
                  <w:tcBorders>
                    <w:top w:val="single" w:color="auto" w:sz="4" w:space="0"/>
                    <w:left w:val="single" w:color="auto" w:sz="4" w:space="0"/>
                    <w:bottom w:val="single" w:color="auto" w:sz="4" w:space="0"/>
                    <w:right w:val="nil"/>
                  </w:tcBorders>
                  <w:noWrap w:val="0"/>
                  <w:vAlign w:val="center"/>
                </w:tcPr>
                <w:p>
                  <w:pPr>
                    <w:spacing w:line="360" w:lineRule="auto"/>
                    <w:jc w:val="center"/>
                    <w:rPr>
                      <w:rFonts w:ascii="Times New Roman" w:hAnsi="Times New Roman"/>
                      <w:color w:val="auto"/>
                      <w:szCs w:val="21"/>
                    </w:rPr>
                  </w:pPr>
                  <w:r>
                    <w:rPr>
                      <w:rFonts w:ascii="宋体"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《四川省打赢蓝天保卫战等九个实施方案的通知》（川府发</w:t>
                  </w:r>
                  <w:r>
                    <w:rPr>
                      <w:rFonts w:ascii="Times New Roman" w:hAnsi="Times New Roman"/>
                      <w:color w:val="auto"/>
                      <w:szCs w:val="21"/>
                    </w:rPr>
                    <w:t>[2019]4</w:t>
                  </w:r>
                  <w:r>
                    <w:rPr>
                      <w:rFonts w:ascii="宋体" w:hAnsi="宋体"/>
                      <w:color w:val="auto"/>
                      <w:szCs w:val="21"/>
                    </w:rPr>
                    <w:t>号）</w:t>
                  </w:r>
                </w:p>
              </w:tc>
              <w:tc>
                <w:tcPr>
                  <w:tcW w:w="2046" w:type="pct"/>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auto"/>
                      <w:szCs w:val="21"/>
                    </w:rPr>
                  </w:pPr>
                  <w:r>
                    <w:rPr>
                      <w:rFonts w:ascii="宋体" w:hAnsi="宋体"/>
                      <w:color w:val="auto"/>
                      <w:szCs w:val="21"/>
                    </w:rPr>
                    <w:t>三、重点任务</w:t>
                  </w:r>
                </w:p>
                <w:p>
                  <w:pPr>
                    <w:rPr>
                      <w:rFonts w:ascii="Times New Roman" w:hAnsi="Times New Roman"/>
                      <w:color w:val="auto"/>
                      <w:szCs w:val="21"/>
                    </w:rPr>
                  </w:pPr>
                  <w:r>
                    <w:rPr>
                      <w:rFonts w:ascii="宋体" w:hAnsi="宋体"/>
                      <w:color w:val="auto"/>
                      <w:szCs w:val="21"/>
                    </w:rPr>
                    <w:t>（一）调整产业结构、深化工业污染治理。</w:t>
                  </w:r>
                </w:p>
                <w:p>
                  <w:pPr>
                    <w:rPr>
                      <w:rFonts w:ascii="Times New Roman" w:hAnsi="Times New Roman"/>
                      <w:color w:val="auto"/>
                      <w:szCs w:val="21"/>
                    </w:rPr>
                  </w:pPr>
                  <w:r>
                    <w:rPr>
                      <w:rFonts w:ascii="宋体" w:hAnsi="宋体"/>
                      <w:color w:val="auto"/>
                      <w:szCs w:val="21"/>
                    </w:rPr>
                    <w:t>强化挥发性有机物综合治理。严格涉及</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排放的建设项目环境准入，加强源头控制。环境空气质量未达标的城市新增</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排放的建设项目，实行</w:t>
                  </w:r>
                  <w:r>
                    <w:rPr>
                      <w:rFonts w:ascii="Times New Roman" w:hAnsi="Times New Roman"/>
                      <w:color w:val="auto"/>
                      <w:szCs w:val="21"/>
                    </w:rPr>
                    <w:t>2</w:t>
                  </w:r>
                  <w:r>
                    <w:rPr>
                      <w:rFonts w:ascii="宋体" w:hAnsi="宋体"/>
                      <w:color w:val="auto"/>
                      <w:szCs w:val="21"/>
                    </w:rPr>
                    <w:t>倍削减量替代。扎实推进重点领域</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治理。加强</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的收集和治理，严格控制生产、储存、装卸等环节的排放。</w:t>
                  </w:r>
                </w:p>
              </w:tc>
              <w:tc>
                <w:tcPr>
                  <w:tcW w:w="1592"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本项目为技改项目，建设地点位于犍为县</w:t>
                  </w:r>
                  <w:r>
                    <w:rPr>
                      <w:rFonts w:hint="eastAsia" w:ascii="宋体" w:hAnsi="宋体"/>
                      <w:color w:val="auto"/>
                      <w:szCs w:val="21"/>
                    </w:rPr>
                    <w:t>舞雩镇</w:t>
                  </w:r>
                  <w:r>
                    <w:rPr>
                      <w:rFonts w:ascii="宋体" w:hAnsi="宋体"/>
                      <w:color w:val="auto"/>
                      <w:szCs w:val="21"/>
                    </w:rPr>
                    <w:t>石马坝工业园区内，位于四川省大气污染防治重点区域。严格按照《挥发性有机物无组织排放控制标准》（</w:t>
                  </w:r>
                  <w:r>
                    <w:rPr>
                      <w:rFonts w:ascii="Times New Roman" w:hAnsi="Times New Roman"/>
                      <w:color w:val="auto"/>
                      <w:szCs w:val="21"/>
                    </w:rPr>
                    <w:t>GB37822-2019</w:t>
                  </w:r>
                  <w:r>
                    <w:rPr>
                      <w:rFonts w:ascii="宋体" w:hAnsi="宋体"/>
                      <w:color w:val="auto"/>
                      <w:szCs w:val="21"/>
                    </w:rPr>
                    <w:t>）污染控制要求对项目的物料、转运以及生产过程实施全过程控制，最大程度降低挥发性有机物的无组织排放，有机废气经收集后分别进入相应废气处理装置进行处理后达标排放，挥发性有机物的排放得到有效控制。</w:t>
                  </w:r>
                </w:p>
              </w:tc>
              <w:tc>
                <w:tcPr>
                  <w:tcW w:w="355" w:type="pct"/>
                  <w:tcBorders>
                    <w:top w:val="single" w:color="auto" w:sz="4" w:space="0"/>
                    <w:left w:val="single" w:color="auto" w:sz="4" w:space="0"/>
                    <w:bottom w:val="single" w:color="auto" w:sz="4" w:space="0"/>
                    <w:right w:val="nil"/>
                  </w:tcBorders>
                  <w:noWrap w:val="0"/>
                  <w:vAlign w:val="center"/>
                </w:tcPr>
                <w:p>
                  <w:pPr>
                    <w:spacing w:line="360" w:lineRule="auto"/>
                    <w:jc w:val="center"/>
                    <w:rPr>
                      <w:rFonts w:ascii="Times New Roman" w:hAnsi="Times New Roman"/>
                      <w:color w:val="auto"/>
                      <w:szCs w:val="21"/>
                    </w:rPr>
                  </w:pPr>
                  <w:r>
                    <w:rPr>
                      <w:rFonts w:ascii="宋体"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《乐山市人民政府关于印发乐山市打赢蓝天保卫战等九个实施方案的通知》</w:t>
                  </w:r>
                </w:p>
              </w:tc>
              <w:tc>
                <w:tcPr>
                  <w:tcW w:w="2046" w:type="pct"/>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auto"/>
                      <w:szCs w:val="21"/>
                    </w:rPr>
                  </w:pPr>
                  <w:r>
                    <w:rPr>
                      <w:rFonts w:ascii="宋体" w:hAnsi="宋体"/>
                      <w:color w:val="auto"/>
                      <w:szCs w:val="21"/>
                    </w:rPr>
                    <w:t>（四）强化挥发性有机物综合治理。</w:t>
                  </w:r>
                </w:p>
                <w:p>
                  <w:pPr>
                    <w:rPr>
                      <w:rFonts w:ascii="Times New Roman" w:hAnsi="Times New Roman"/>
                      <w:color w:val="auto"/>
                      <w:szCs w:val="21"/>
                    </w:rPr>
                  </w:pPr>
                  <w:r>
                    <w:rPr>
                      <w:rFonts w:ascii="宋体" w:hAnsi="宋体"/>
                      <w:color w:val="auto"/>
                      <w:szCs w:val="21"/>
                    </w:rPr>
                    <w:t>开展工业</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达标排放整治。</w:t>
                  </w:r>
                  <w:r>
                    <w:rPr>
                      <w:rFonts w:ascii="Times New Roman" w:hAnsi="Times New Roman"/>
                      <w:color w:val="auto"/>
                      <w:szCs w:val="21"/>
                    </w:rPr>
                    <w:t>2019</w:t>
                  </w:r>
                  <w:r>
                    <w:rPr>
                      <w:rFonts w:ascii="宋体" w:hAnsi="宋体"/>
                      <w:color w:val="auto"/>
                      <w:szCs w:val="21"/>
                    </w:rPr>
                    <w:t>年</w:t>
                  </w:r>
                  <w:r>
                    <w:rPr>
                      <w:rFonts w:ascii="Times New Roman" w:hAnsi="Times New Roman"/>
                      <w:color w:val="auto"/>
                      <w:szCs w:val="21"/>
                    </w:rPr>
                    <w:t>6</w:t>
                  </w:r>
                  <w:r>
                    <w:rPr>
                      <w:rFonts w:ascii="宋体" w:hAnsi="宋体"/>
                      <w:color w:val="auto"/>
                      <w:szCs w:val="21"/>
                    </w:rPr>
                    <w:t>月前，建立全市化工、汽车制造、机械加工装备制造、家具制造、人造板制造、涂料、制鞋、印刷包装、制药等重点行业企业</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管控企业台账，</w:t>
                  </w:r>
                  <w:r>
                    <w:rPr>
                      <w:rFonts w:ascii="Times New Roman" w:hAnsi="Times New Roman"/>
                      <w:color w:val="auto"/>
                      <w:szCs w:val="21"/>
                    </w:rPr>
                    <w:t>2019</w:t>
                  </w:r>
                  <w:r>
                    <w:rPr>
                      <w:rFonts w:ascii="宋体" w:hAnsi="宋体"/>
                      <w:color w:val="auto"/>
                      <w:szCs w:val="21"/>
                    </w:rPr>
                    <w:t>年完成重点行业</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深度整治，确保</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稳定达标排放，无法实现稳定达标排放的企业，严格实施相关生产工艺或装置停产限期整改。</w:t>
                  </w:r>
                </w:p>
              </w:tc>
              <w:tc>
                <w:tcPr>
                  <w:tcW w:w="1592"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项目不属于</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重点管控行业，严格按照《挥发性有机物无组织排放控制标准》（</w:t>
                  </w:r>
                  <w:r>
                    <w:rPr>
                      <w:rFonts w:ascii="Times New Roman" w:hAnsi="Times New Roman"/>
                      <w:color w:val="auto"/>
                      <w:szCs w:val="21"/>
                    </w:rPr>
                    <w:t>GB37822-2019</w:t>
                  </w:r>
                  <w:r>
                    <w:rPr>
                      <w:rFonts w:ascii="宋体" w:hAnsi="宋体"/>
                      <w:color w:val="auto"/>
                      <w:szCs w:val="21"/>
                    </w:rPr>
                    <w:t>）污染控制要求对项目的物料、转运以及生产过程实施全过程控制，最大程度降低挥发性有机物的无组织排放，有机废气经收集后分别进入相应废气处理装置进行处理后达标排放，挥发性有机物的排放得到有效控制。</w:t>
                  </w:r>
                </w:p>
              </w:tc>
              <w:tc>
                <w:tcPr>
                  <w:tcW w:w="355" w:type="pct"/>
                  <w:tcBorders>
                    <w:top w:val="single" w:color="auto" w:sz="4" w:space="0"/>
                    <w:left w:val="single" w:color="auto" w:sz="4" w:space="0"/>
                    <w:bottom w:val="single" w:color="auto" w:sz="4" w:space="0"/>
                    <w:right w:val="nil"/>
                  </w:tcBorders>
                  <w:noWrap w:val="0"/>
                  <w:vAlign w:val="center"/>
                </w:tcPr>
                <w:p>
                  <w:pPr>
                    <w:spacing w:line="360" w:lineRule="auto"/>
                    <w:jc w:val="center"/>
                    <w:rPr>
                      <w:rFonts w:ascii="Times New Roman" w:hAnsi="Times New Roman"/>
                      <w:color w:val="auto"/>
                      <w:szCs w:val="21"/>
                    </w:rPr>
                  </w:pPr>
                  <w:r>
                    <w:rPr>
                      <w:rFonts w:ascii="宋体"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《四川省挥发性有机物污染防治措施方案》（</w:t>
                  </w:r>
                  <w:r>
                    <w:rPr>
                      <w:rFonts w:ascii="Times New Roman" w:hAnsi="Times New Roman"/>
                      <w:color w:val="auto"/>
                      <w:szCs w:val="21"/>
                    </w:rPr>
                    <w:t>2018~2020</w:t>
                  </w:r>
                  <w:r>
                    <w:rPr>
                      <w:rFonts w:ascii="宋体" w:hAnsi="宋体"/>
                      <w:color w:val="auto"/>
                      <w:szCs w:val="21"/>
                    </w:rPr>
                    <w:t>年）</w:t>
                  </w:r>
                </w:p>
              </w:tc>
              <w:tc>
                <w:tcPr>
                  <w:tcW w:w="2046" w:type="pct"/>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auto"/>
                      <w:szCs w:val="21"/>
                    </w:rPr>
                  </w:pPr>
                  <w:r>
                    <w:rPr>
                      <w:rFonts w:ascii="宋体" w:hAnsi="宋体"/>
                      <w:color w:val="auto"/>
                      <w:szCs w:val="21"/>
                    </w:rPr>
                    <w:t>（一）加大产业结构调整力度</w:t>
                  </w:r>
                </w:p>
                <w:p>
                  <w:pPr>
                    <w:rPr>
                      <w:rFonts w:ascii="Times New Roman" w:hAnsi="Times New Roman"/>
                      <w:color w:val="auto"/>
                      <w:szCs w:val="21"/>
                    </w:rPr>
                  </w:pPr>
                  <w:r>
                    <w:rPr>
                      <w:rFonts w:ascii="Times New Roman" w:hAnsi="Times New Roman"/>
                      <w:color w:val="auto"/>
                      <w:szCs w:val="21"/>
                    </w:rPr>
                    <w:t>2.</w:t>
                  </w:r>
                  <w:r>
                    <w:rPr>
                      <w:rFonts w:ascii="宋体" w:hAnsi="宋体"/>
                      <w:color w:val="auto"/>
                      <w:szCs w:val="21"/>
                    </w:rPr>
                    <w:t>严格建设项目环境准入。提高</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排放重点行业环保准入门槛，严格控制新增污染物排放量。各市（州）要严格限制石化、化工、包装印刷、工业涂装等高</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排放建设项目。新建涉</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排放的工业企业要入园区。</w:t>
                  </w:r>
                </w:p>
                <w:p>
                  <w:pPr>
                    <w:rPr>
                      <w:rFonts w:ascii="Times New Roman" w:hAnsi="Times New Roman"/>
                      <w:color w:val="auto"/>
                      <w:szCs w:val="21"/>
                    </w:rPr>
                  </w:pPr>
                  <w:r>
                    <w:rPr>
                      <w:rFonts w:ascii="宋体" w:hAnsi="宋体"/>
                      <w:color w:val="auto"/>
                      <w:szCs w:val="21"/>
                    </w:rPr>
                    <w:t>（二）加快实施工业源</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污染防治</w:t>
                  </w:r>
                </w:p>
                <w:p>
                  <w:pPr>
                    <w:rPr>
                      <w:rFonts w:ascii="Times New Roman" w:hAnsi="Times New Roman"/>
                      <w:color w:val="auto"/>
                      <w:szCs w:val="21"/>
                    </w:rPr>
                  </w:pPr>
                  <w:r>
                    <w:rPr>
                      <w:rFonts w:ascii="宋体" w:hAnsi="宋体"/>
                      <w:color w:val="auto"/>
                      <w:szCs w:val="21"/>
                    </w:rPr>
                    <w:t>加强全过程控制，推广使用低（无）</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含量的原辅材料和生产工艺、设备。产生含挥发性有机物废气的生产和服务活动，应当在密闭空间或者设备中进行，并按照规定安装、使用污染防治设施；无法密闭的，应当采取措施减少废气排放。</w:t>
                  </w:r>
                </w:p>
              </w:tc>
              <w:tc>
                <w:tcPr>
                  <w:tcW w:w="1592"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本项目为技改项目，建设地点位于犍为县</w:t>
                  </w:r>
                  <w:r>
                    <w:rPr>
                      <w:rFonts w:hint="eastAsia" w:ascii="宋体" w:hAnsi="宋体"/>
                      <w:color w:val="auto"/>
                      <w:szCs w:val="21"/>
                    </w:rPr>
                    <w:t>舞雩镇</w:t>
                  </w:r>
                  <w:r>
                    <w:rPr>
                      <w:rFonts w:ascii="宋体" w:hAnsi="宋体"/>
                      <w:color w:val="auto"/>
                      <w:szCs w:val="21"/>
                    </w:rPr>
                    <w:t>石马坝工业园区内，严格按照《挥发性有机物无组织排放控制标准》（</w:t>
                  </w:r>
                  <w:r>
                    <w:rPr>
                      <w:rFonts w:ascii="Times New Roman" w:hAnsi="Times New Roman"/>
                      <w:color w:val="auto"/>
                      <w:szCs w:val="21"/>
                    </w:rPr>
                    <w:t>GB37822-2019</w:t>
                  </w:r>
                  <w:r>
                    <w:rPr>
                      <w:rFonts w:ascii="宋体" w:hAnsi="宋体"/>
                      <w:color w:val="auto"/>
                      <w:szCs w:val="21"/>
                    </w:rPr>
                    <w:t>）污染控制要求对项目的物料、转运以及生产过程实施全过程控制，最大程度降低挥发性有机物的无组织排放，有机废气经收集后分别进入相应废气处理装置进行处理后达标排放，挥发性有机物的排放得到有效控制。</w:t>
                  </w:r>
                </w:p>
              </w:tc>
              <w:tc>
                <w:tcPr>
                  <w:tcW w:w="355" w:type="pct"/>
                  <w:tcBorders>
                    <w:top w:val="single" w:color="auto" w:sz="4" w:space="0"/>
                    <w:left w:val="single" w:color="auto" w:sz="4" w:space="0"/>
                    <w:bottom w:val="single" w:color="auto" w:sz="4" w:space="0"/>
                    <w:right w:val="nil"/>
                  </w:tcBorders>
                  <w:noWrap w:val="0"/>
                  <w:vAlign w:val="center"/>
                </w:tcPr>
                <w:p>
                  <w:pPr>
                    <w:spacing w:line="360" w:lineRule="auto"/>
                    <w:jc w:val="center"/>
                    <w:rPr>
                      <w:rFonts w:ascii="Times New Roman" w:hAnsi="Times New Roman"/>
                      <w:color w:val="auto"/>
                      <w:szCs w:val="21"/>
                    </w:rPr>
                  </w:pPr>
                  <w:r>
                    <w:rPr>
                      <w:rFonts w:ascii="宋体"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《中华人民共和国大气污染防治法》</w:t>
                  </w:r>
                </w:p>
              </w:tc>
              <w:tc>
                <w:tcPr>
                  <w:tcW w:w="2046"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Times New Roman" w:hAnsi="Times New Roman"/>
                      <w:color w:val="auto"/>
                      <w:szCs w:val="21"/>
                    </w:rPr>
                    <w:t>...</w:t>
                  </w:r>
                  <w:r>
                    <w:rPr>
                      <w:rFonts w:ascii="宋体" w:hAnsi="宋体"/>
                      <w:color w:val="auto"/>
                      <w:szCs w:val="21"/>
                    </w:rPr>
                    <w:t>产生含挥发性有机物废气的生产和服务活动，应当在密闭空间或者设备中进行，并按照规定安装、使用污染防治设施；无法密闭的，应当采取措施减少废气排放</w:t>
                  </w:r>
                  <w:r>
                    <w:rPr>
                      <w:rFonts w:ascii="Times New Roman" w:hAnsi="Times New Roman"/>
                      <w:color w:val="auto"/>
                      <w:szCs w:val="21"/>
                    </w:rPr>
                    <w:t>...</w:t>
                  </w:r>
                </w:p>
              </w:tc>
              <w:tc>
                <w:tcPr>
                  <w:tcW w:w="1592"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本项目产生的挥发性有机废气采取密闭生产区，集气罩</w:t>
                  </w:r>
                  <w:r>
                    <w:rPr>
                      <w:rFonts w:hint="eastAsia" w:ascii="Times New Roman" w:hAnsi="Times New Roman"/>
                      <w:color w:val="auto"/>
                      <w:szCs w:val="21"/>
                    </w:rPr>
                    <w:t>+</w:t>
                  </w:r>
                  <w:r>
                    <w:rPr>
                      <w:rFonts w:ascii="宋体" w:hAnsi="宋体"/>
                      <w:color w:val="auto"/>
                      <w:szCs w:val="21"/>
                    </w:rPr>
                    <w:t>布袋除尘器</w:t>
                  </w:r>
                  <w:r>
                    <w:rPr>
                      <w:rFonts w:ascii="Times New Roman" w:hAnsi="Times New Roman"/>
                      <w:color w:val="auto"/>
                      <w:szCs w:val="21"/>
                    </w:rPr>
                    <w:t>+</w:t>
                  </w:r>
                  <w:r>
                    <w:rPr>
                      <w:rFonts w:hint="eastAsia" w:ascii="宋体" w:hAnsi="宋体"/>
                      <w:color w:val="auto"/>
                      <w:szCs w:val="21"/>
                    </w:rPr>
                    <w:t>水膜</w:t>
                  </w:r>
                  <w:r>
                    <w:rPr>
                      <w:rFonts w:hint="eastAsia" w:ascii="Times New Roman" w:hAnsi="Times New Roman"/>
                      <w:color w:val="auto"/>
                      <w:szCs w:val="21"/>
                    </w:rPr>
                    <w:t>+</w:t>
                  </w:r>
                  <w:r>
                    <w:rPr>
                      <w:rFonts w:hint="eastAsia" w:ascii="宋体" w:hAnsi="宋体"/>
                      <w:color w:val="auto"/>
                      <w:szCs w:val="21"/>
                    </w:rPr>
                    <w:t>喷淋塔</w:t>
                  </w:r>
                  <w:r>
                    <w:rPr>
                      <w:rFonts w:hint="eastAsia" w:ascii="Times New Roman" w:hAnsi="Times New Roman"/>
                      <w:color w:val="auto"/>
                      <w:szCs w:val="21"/>
                    </w:rPr>
                    <w:t>+</w:t>
                  </w:r>
                  <w:r>
                    <w:rPr>
                      <w:rFonts w:ascii="Times New Roman" w:hAnsi="Times New Roman"/>
                      <w:color w:val="auto"/>
                      <w:szCs w:val="21"/>
                    </w:rPr>
                    <w:t>UV</w:t>
                  </w:r>
                  <w:r>
                    <w:rPr>
                      <w:rFonts w:ascii="宋体" w:hAnsi="宋体"/>
                      <w:color w:val="auto"/>
                      <w:szCs w:val="21"/>
                    </w:rPr>
                    <w:t>光氧</w:t>
                  </w:r>
                  <w:r>
                    <w:rPr>
                      <w:rFonts w:ascii="Times New Roman" w:hAnsi="Times New Roman"/>
                      <w:color w:val="auto"/>
                      <w:szCs w:val="21"/>
                    </w:rPr>
                    <w:t>+</w:t>
                  </w:r>
                  <w:r>
                    <w:rPr>
                      <w:rFonts w:ascii="宋体" w:hAnsi="宋体"/>
                      <w:color w:val="auto"/>
                      <w:szCs w:val="21"/>
                    </w:rPr>
                    <w:t>低温等离子</w:t>
                  </w:r>
                  <w:r>
                    <w:rPr>
                      <w:rFonts w:ascii="Times New Roman" w:hAnsi="Times New Roman"/>
                      <w:color w:val="auto"/>
                      <w:szCs w:val="21"/>
                    </w:rPr>
                    <w:t>+</w:t>
                  </w:r>
                  <w:r>
                    <w:rPr>
                      <w:rFonts w:ascii="宋体" w:hAnsi="宋体"/>
                      <w:color w:val="auto"/>
                      <w:szCs w:val="21"/>
                    </w:rPr>
                    <w:t>二级活性炭吸附处理后，通过</w:t>
                  </w:r>
                  <w:r>
                    <w:rPr>
                      <w:rFonts w:ascii="Times New Roman" w:hAnsi="Times New Roman"/>
                      <w:color w:val="auto"/>
                      <w:szCs w:val="21"/>
                    </w:rPr>
                    <w:t>15m</w:t>
                  </w:r>
                  <w:r>
                    <w:rPr>
                      <w:rFonts w:ascii="宋体" w:hAnsi="宋体"/>
                      <w:color w:val="auto"/>
                      <w:szCs w:val="21"/>
                    </w:rPr>
                    <w:t>排气筒达标排放。</w:t>
                  </w:r>
                </w:p>
              </w:tc>
              <w:tc>
                <w:tcPr>
                  <w:tcW w:w="355" w:type="pct"/>
                  <w:tcBorders>
                    <w:top w:val="single" w:color="auto" w:sz="4" w:space="0"/>
                    <w:left w:val="single" w:color="auto" w:sz="4" w:space="0"/>
                    <w:bottom w:val="single" w:color="auto" w:sz="4" w:space="0"/>
                    <w:right w:val="nil"/>
                  </w:tcBorders>
                  <w:noWrap w:val="0"/>
                  <w:vAlign w:val="center"/>
                </w:tcPr>
                <w:p>
                  <w:pPr>
                    <w:spacing w:line="360" w:lineRule="auto"/>
                    <w:jc w:val="center"/>
                    <w:rPr>
                      <w:rFonts w:ascii="Times New Roman" w:hAnsi="Times New Roman"/>
                      <w:color w:val="auto"/>
                      <w:szCs w:val="21"/>
                    </w:rPr>
                  </w:pPr>
                  <w:r>
                    <w:rPr>
                      <w:rFonts w:ascii="宋体"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《挥发性有机物无组织排放控制标准》（</w:t>
                  </w:r>
                  <w:r>
                    <w:rPr>
                      <w:rFonts w:ascii="Times New Roman" w:hAnsi="Times New Roman"/>
                      <w:color w:val="auto"/>
                      <w:szCs w:val="21"/>
                    </w:rPr>
                    <w:t>GB37822-2019</w:t>
                  </w:r>
                  <w:r>
                    <w:rPr>
                      <w:rFonts w:ascii="宋体" w:hAnsi="宋体"/>
                      <w:color w:val="auto"/>
                      <w:szCs w:val="21"/>
                    </w:rPr>
                    <w:t>）</w:t>
                  </w:r>
                </w:p>
              </w:tc>
              <w:tc>
                <w:tcPr>
                  <w:tcW w:w="2046"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Times New Roman" w:hAnsi="Times New Roman"/>
                      <w:color w:val="auto"/>
                      <w:szCs w:val="21"/>
                    </w:rPr>
                  </w:pP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物料储存于密闭的容器、包装袋、储罐、储库、料仓中。盛装</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物料的容器或包装袋应存放于室内，或存放于设置有雨棚、遮阳和防渗设施的专用场地，盛装的容器或包装袋在非取用状态时应加盖、封口，保持密闭</w:t>
                  </w:r>
                  <w:r>
                    <w:rPr>
                      <w:rFonts w:ascii="Times New Roman" w:hAnsi="Times New Roman"/>
                      <w:color w:val="auto"/>
                      <w:szCs w:val="21"/>
                    </w:rPr>
                    <w:t>...</w:t>
                  </w:r>
                  <w:r>
                    <w:rPr>
                      <w:rFonts w:ascii="宋体" w:hAnsi="宋体"/>
                      <w:color w:val="auto"/>
                      <w:szCs w:val="21"/>
                    </w:rPr>
                    <w:t>企业应考虑生产工艺、操作方式、废气性质、处理方法等因素，对</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废气进行分类收集</w:t>
                  </w:r>
                  <w:r>
                    <w:rPr>
                      <w:rFonts w:ascii="Times New Roman" w:hAnsi="Times New Roman"/>
                      <w:color w:val="auto"/>
                      <w:szCs w:val="21"/>
                    </w:rPr>
                    <w:t>...</w:t>
                  </w:r>
                  <w:r>
                    <w:rPr>
                      <w:rFonts w:ascii="宋体" w:hAnsi="宋体"/>
                      <w:color w:val="auto"/>
                      <w:szCs w:val="21"/>
                    </w:rPr>
                    <w:t>废气收集系统的输送管道应密闭</w:t>
                  </w:r>
                  <w:r>
                    <w:rPr>
                      <w:rFonts w:ascii="Times New Roman" w:hAnsi="Times New Roman"/>
                      <w:color w:val="auto"/>
                      <w:szCs w:val="21"/>
                    </w:rPr>
                    <w:t>...</w:t>
                  </w:r>
                </w:p>
              </w:tc>
              <w:tc>
                <w:tcPr>
                  <w:tcW w:w="1592"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Times New Roman" w:hAnsi="Times New Roman"/>
                      <w:color w:val="auto"/>
                      <w:szCs w:val="21"/>
                    </w:rPr>
                  </w:pPr>
                  <w:r>
                    <w:rPr>
                      <w:rFonts w:ascii="宋体" w:hAnsi="宋体"/>
                      <w:color w:val="auto"/>
                      <w:szCs w:val="21"/>
                    </w:rPr>
                    <w:t>本项目原料及产品常温状态下无挥发，加热工艺状态下产生的</w:t>
                  </w:r>
                  <w:r>
                    <w:rPr>
                      <w:rFonts w:ascii="Times New Roman" w:hAnsi="Times New Roman"/>
                      <w:color w:val="auto"/>
                      <w:szCs w:val="21"/>
                    </w:rPr>
                    <w:t>VOC</w:t>
                  </w:r>
                  <w:r>
                    <w:rPr>
                      <w:rFonts w:ascii="Times New Roman" w:hAnsi="Times New Roman"/>
                      <w:color w:val="auto"/>
                      <w:szCs w:val="21"/>
                      <w:vertAlign w:val="subscript"/>
                    </w:rPr>
                    <w:t>S</w:t>
                  </w:r>
                  <w:r>
                    <w:rPr>
                      <w:rFonts w:ascii="宋体" w:hAnsi="宋体"/>
                      <w:color w:val="auto"/>
                      <w:szCs w:val="21"/>
                    </w:rPr>
                    <w:t>废气经集气罩</w:t>
                  </w:r>
                  <w:r>
                    <w:rPr>
                      <w:rFonts w:hint="eastAsia" w:ascii="Times New Roman" w:hAnsi="Times New Roman"/>
                      <w:color w:val="auto"/>
                      <w:szCs w:val="21"/>
                    </w:rPr>
                    <w:t>+</w:t>
                  </w:r>
                  <w:r>
                    <w:rPr>
                      <w:rFonts w:ascii="宋体" w:hAnsi="宋体"/>
                      <w:color w:val="auto"/>
                      <w:szCs w:val="21"/>
                    </w:rPr>
                    <w:t>布袋除尘器</w:t>
                  </w:r>
                  <w:r>
                    <w:rPr>
                      <w:rFonts w:ascii="Times New Roman" w:hAnsi="Times New Roman"/>
                      <w:color w:val="auto"/>
                      <w:szCs w:val="21"/>
                    </w:rPr>
                    <w:t>+</w:t>
                  </w:r>
                  <w:r>
                    <w:rPr>
                      <w:rFonts w:hint="eastAsia" w:ascii="宋体" w:hAnsi="宋体"/>
                      <w:color w:val="auto"/>
                      <w:szCs w:val="21"/>
                    </w:rPr>
                    <w:t>水膜</w:t>
                  </w:r>
                  <w:r>
                    <w:rPr>
                      <w:rFonts w:hint="eastAsia" w:ascii="Times New Roman" w:hAnsi="Times New Roman"/>
                      <w:color w:val="auto"/>
                      <w:szCs w:val="21"/>
                    </w:rPr>
                    <w:t>+</w:t>
                  </w:r>
                  <w:r>
                    <w:rPr>
                      <w:rFonts w:hint="eastAsia" w:ascii="宋体" w:hAnsi="宋体"/>
                      <w:color w:val="auto"/>
                      <w:szCs w:val="21"/>
                    </w:rPr>
                    <w:t>喷淋塔</w:t>
                  </w:r>
                  <w:r>
                    <w:rPr>
                      <w:rFonts w:hint="eastAsia" w:ascii="Times New Roman" w:hAnsi="Times New Roman"/>
                      <w:color w:val="auto"/>
                      <w:szCs w:val="21"/>
                    </w:rPr>
                    <w:t>+</w:t>
                  </w:r>
                  <w:r>
                    <w:rPr>
                      <w:rFonts w:ascii="Times New Roman" w:hAnsi="Times New Roman"/>
                      <w:color w:val="auto"/>
                      <w:szCs w:val="21"/>
                    </w:rPr>
                    <w:t>UV</w:t>
                  </w:r>
                  <w:r>
                    <w:rPr>
                      <w:rFonts w:ascii="宋体" w:hAnsi="宋体"/>
                      <w:color w:val="auto"/>
                      <w:szCs w:val="21"/>
                    </w:rPr>
                    <w:t>光氧</w:t>
                  </w:r>
                  <w:r>
                    <w:rPr>
                      <w:rFonts w:ascii="Times New Roman" w:hAnsi="Times New Roman"/>
                      <w:color w:val="auto"/>
                      <w:szCs w:val="21"/>
                    </w:rPr>
                    <w:t>+</w:t>
                  </w:r>
                  <w:r>
                    <w:rPr>
                      <w:rFonts w:ascii="宋体" w:hAnsi="宋体"/>
                      <w:color w:val="auto"/>
                      <w:szCs w:val="21"/>
                    </w:rPr>
                    <w:t>低温等离子</w:t>
                  </w:r>
                  <w:r>
                    <w:rPr>
                      <w:rFonts w:ascii="Times New Roman" w:hAnsi="Times New Roman"/>
                      <w:color w:val="auto"/>
                      <w:szCs w:val="21"/>
                    </w:rPr>
                    <w:t>+</w:t>
                  </w:r>
                  <w:r>
                    <w:rPr>
                      <w:rFonts w:ascii="宋体" w:hAnsi="宋体"/>
                      <w:color w:val="auto"/>
                      <w:szCs w:val="21"/>
                    </w:rPr>
                    <w:t>二级活性炭吸附处理后，通过</w:t>
                  </w:r>
                  <w:r>
                    <w:rPr>
                      <w:rFonts w:ascii="Times New Roman" w:hAnsi="Times New Roman"/>
                      <w:color w:val="auto"/>
                      <w:szCs w:val="21"/>
                    </w:rPr>
                    <w:t>15m</w:t>
                  </w:r>
                  <w:r>
                    <w:rPr>
                      <w:rFonts w:ascii="宋体" w:hAnsi="宋体"/>
                      <w:color w:val="auto"/>
                      <w:szCs w:val="21"/>
                    </w:rPr>
                    <w:t>排气筒达标排放。</w:t>
                  </w:r>
                </w:p>
              </w:tc>
              <w:tc>
                <w:tcPr>
                  <w:tcW w:w="355" w:type="pct"/>
                  <w:tcBorders>
                    <w:top w:val="single" w:color="auto" w:sz="4" w:space="0"/>
                    <w:left w:val="single" w:color="auto" w:sz="4" w:space="0"/>
                    <w:bottom w:val="single" w:color="auto" w:sz="4" w:space="0"/>
                    <w:right w:val="nil"/>
                  </w:tcBorders>
                  <w:noWrap w:val="0"/>
                  <w:vAlign w:val="center"/>
                </w:tcPr>
                <w:p>
                  <w:pPr>
                    <w:spacing w:line="360" w:lineRule="auto"/>
                    <w:jc w:val="center"/>
                    <w:rPr>
                      <w:rFonts w:ascii="Times New Roman" w:hAnsi="Times New Roman"/>
                      <w:color w:val="auto"/>
                      <w:szCs w:val="21"/>
                    </w:rPr>
                  </w:pPr>
                  <w:r>
                    <w:rPr>
                      <w:rFonts w:ascii="宋体"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op w:val="single" w:color="auto" w:sz="4" w:space="0"/>
                    <w:left w:val="nil"/>
                    <w:bottom w:val="single" w:color="auto" w:sz="4" w:space="0"/>
                    <w:right w:val="single" w:color="auto" w:sz="4" w:space="0"/>
                  </w:tcBorders>
                  <w:noWrap w:val="0"/>
                  <w:vAlign w:val="center"/>
                </w:tcPr>
                <w:p>
                  <w:pPr>
                    <w:jc w:val="center"/>
                    <w:rPr>
                      <w:rFonts w:ascii="宋体" w:hAnsi="宋体"/>
                      <w:color w:val="auto"/>
                      <w:szCs w:val="21"/>
                    </w:rPr>
                  </w:pPr>
                  <w:r>
                    <w:rPr>
                      <w:rFonts w:hint="default" w:ascii="Times New Roman" w:hAnsi="Times New Roman" w:eastAsia="宋体" w:cs="Times New Roman"/>
                      <w:color w:val="auto"/>
                      <w:spacing w:val="0"/>
                      <w:kern w:val="21"/>
                      <w:sz w:val="21"/>
                      <w:szCs w:val="21"/>
                      <w:highlight w:val="none"/>
                      <w:lang w:val="zh-CN" w:eastAsia="zh-CN" w:bidi="zh-CN"/>
                    </w:rPr>
                    <w:t>《重点行业挥发性有机物综合治理方案》</w:t>
                  </w:r>
                  <w:r>
                    <w:rPr>
                      <w:rFonts w:hint="eastAsia" w:ascii="Times New Roman" w:hAnsi="Times New Roman" w:eastAsia="宋体" w:cs="Times New Roman"/>
                      <w:color w:val="auto"/>
                      <w:spacing w:val="0"/>
                      <w:kern w:val="21"/>
                      <w:sz w:val="21"/>
                      <w:szCs w:val="21"/>
                      <w:highlight w:val="none"/>
                      <w:lang w:val="zh-CN" w:eastAsia="zh-CN" w:bidi="zh-CN"/>
                    </w:rPr>
                    <w:t>（</w:t>
                  </w:r>
                  <w:r>
                    <w:rPr>
                      <w:rFonts w:hint="eastAsia" w:ascii="Times New Roman" w:hAnsi="Times New Roman" w:eastAsia="宋体" w:cs="Times New Roman"/>
                      <w:color w:val="auto"/>
                      <w:spacing w:val="0"/>
                      <w:kern w:val="21"/>
                      <w:sz w:val="21"/>
                      <w:szCs w:val="21"/>
                      <w:highlight w:val="none"/>
                      <w:lang w:val="en-US" w:eastAsia="zh-CN" w:bidi="zh-CN"/>
                    </w:rPr>
                    <w:t>环大气〔2019〕53号）</w:t>
                  </w:r>
                </w:p>
              </w:tc>
              <w:tc>
                <w:tcPr>
                  <w:tcW w:w="2046"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both"/>
                    <w:rPr>
                      <w:rFonts w:hint="eastAsia" w:ascii="Times New Roman" w:hAnsi="Times New Roman"/>
                      <w:color w:val="auto"/>
                      <w:szCs w:val="21"/>
                    </w:rPr>
                  </w:pPr>
                  <w:r>
                    <w:rPr>
                      <w:rFonts w:hint="eastAsia" w:ascii="Times New Roman" w:hAnsi="Times New Roman"/>
                      <w:color w:val="auto"/>
                      <w:szCs w:val="21"/>
                    </w:rPr>
                    <w:t>(1)全面加强无组织排放控制。推进使用先进生产工艺。通过采用全密闭、连续化、自动化等生产技术，以及高效工艺与设备等，减少工艺过程无组织排放，提高废气收集率，科学设计废气收集系统，保持微负压状态，并根据相关规范合理设置通风量。</w:t>
                  </w:r>
                </w:p>
                <w:p>
                  <w:pPr>
                    <w:autoSpaceDE w:val="0"/>
                    <w:autoSpaceDN w:val="0"/>
                    <w:adjustRightInd w:val="0"/>
                    <w:jc w:val="both"/>
                    <w:rPr>
                      <w:rFonts w:hint="eastAsia" w:ascii="Times New Roman" w:hAnsi="Times New Roman"/>
                      <w:color w:val="auto"/>
                      <w:szCs w:val="21"/>
                    </w:rPr>
                  </w:pPr>
                  <w:r>
                    <w:rPr>
                      <w:rFonts w:hint="eastAsia" w:ascii="Times New Roman" w:hAnsi="Times New Roman"/>
                      <w:color w:val="auto"/>
                      <w:szCs w:val="21"/>
                    </w:rPr>
                    <w:t>(2）推进建设适宜高效的治污设施。鼓励企业采用多种技术的组合工艺，提高VOCs治理效率。</w:t>
                  </w:r>
                </w:p>
                <w:p>
                  <w:pPr>
                    <w:autoSpaceDE w:val="0"/>
                    <w:autoSpaceDN w:val="0"/>
                    <w:adjustRightInd w:val="0"/>
                    <w:jc w:val="both"/>
                    <w:rPr>
                      <w:rFonts w:hint="eastAsia" w:ascii="Times New Roman" w:hAnsi="Times New Roman"/>
                      <w:color w:val="auto"/>
                      <w:szCs w:val="21"/>
                    </w:rPr>
                  </w:pPr>
                  <w:r>
                    <w:rPr>
                      <w:rFonts w:hint="eastAsia" w:ascii="Times New Roman" w:hAnsi="Times New Roman"/>
                      <w:color w:val="auto"/>
                      <w:szCs w:val="21"/>
                    </w:rPr>
                    <w:t>(3）加强企业运行管理。企业应系统梳理</w:t>
                  </w:r>
                  <w:r>
                    <w:rPr>
                      <w:rFonts w:hint="eastAsia" w:ascii="Times New Roman" w:hAnsi="Times New Roman"/>
                      <w:color w:val="auto"/>
                      <w:szCs w:val="21"/>
                      <w:lang w:val="en-US" w:eastAsia="zh-CN"/>
                    </w:rPr>
                    <w:t>V</w:t>
                  </w:r>
                  <w:r>
                    <w:rPr>
                      <w:rFonts w:hint="eastAsia" w:ascii="Times New Roman" w:hAnsi="Times New Roman"/>
                      <w:color w:val="auto"/>
                      <w:szCs w:val="21"/>
                    </w:rPr>
                    <w:t>OCs排放主要环节和工序，包括启停机、检维修作业等，制定具体操作规程，落实到具体责任人。健全内部考核制度。加强人员能力培训和技术交流。建立管理台账，记录企业生产和治污设施运行的关键参数，在线监控参数要确保能够实时调取，相关台账记录至少保存三年。</w:t>
                  </w:r>
                </w:p>
                <w:p>
                  <w:pPr>
                    <w:autoSpaceDE w:val="0"/>
                    <w:autoSpaceDN w:val="0"/>
                    <w:adjustRightInd w:val="0"/>
                    <w:jc w:val="center"/>
                    <w:rPr>
                      <w:rFonts w:ascii="Times New Roman" w:hAnsi="Times New Roman"/>
                      <w:color w:val="auto"/>
                      <w:szCs w:val="21"/>
                    </w:rPr>
                  </w:pPr>
                </w:p>
              </w:tc>
              <w:tc>
                <w:tcPr>
                  <w:tcW w:w="1592"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hAnsi="宋体"/>
                      <w:color w:val="auto"/>
                      <w:szCs w:val="21"/>
                    </w:rPr>
                  </w:pPr>
                  <w:r>
                    <w:rPr>
                      <w:rFonts w:hint="eastAsia" w:ascii="Times New Roman" w:hAnsi="Times New Roman"/>
                      <w:color w:val="auto"/>
                      <w:szCs w:val="21"/>
                    </w:rPr>
                    <w:t>本项目采取集气设施收集有机废气，减少无组织排放，采取“</w:t>
                  </w:r>
                  <w:r>
                    <w:rPr>
                      <w:rFonts w:hint="default" w:ascii="Times New Roman" w:hAnsi="Times New Roman" w:cs="Times New Roman"/>
                      <w:color w:val="auto"/>
                      <w:sz w:val="21"/>
                      <w:szCs w:val="21"/>
                    </w:rPr>
                    <w:t>布袋除尘器+水膜+喷淋塔+UV光解+低温等离子+二级活性炭吸附处理</w:t>
                  </w:r>
                  <w:r>
                    <w:rPr>
                      <w:rFonts w:hint="eastAsia" w:ascii="Times New Roman" w:hAnsi="Times New Roman"/>
                      <w:color w:val="auto"/>
                      <w:szCs w:val="21"/>
                    </w:rPr>
                    <w:t>”治理设施处理能保证有机废气达标排放;在生产过程中企业加强运行管理，制定</w:t>
                  </w:r>
                  <w:r>
                    <w:rPr>
                      <w:rFonts w:hint="eastAsia" w:ascii="Times New Roman" w:hAnsi="Times New Roman"/>
                      <w:color w:val="auto"/>
                      <w:szCs w:val="21"/>
                      <w:lang w:val="en-US" w:eastAsia="zh-CN"/>
                    </w:rPr>
                    <w:t>有</w:t>
                  </w:r>
                  <w:r>
                    <w:rPr>
                      <w:rFonts w:hint="eastAsia" w:ascii="Times New Roman" w:hAnsi="Times New Roman"/>
                      <w:color w:val="auto"/>
                      <w:szCs w:val="21"/>
                    </w:rPr>
                    <w:t>具体操作规程等。</w:t>
                  </w:r>
                </w:p>
              </w:tc>
              <w:tc>
                <w:tcPr>
                  <w:tcW w:w="355" w:type="pct"/>
                  <w:tcBorders>
                    <w:top w:val="single" w:color="auto" w:sz="4" w:space="0"/>
                    <w:left w:val="single" w:color="auto" w:sz="4" w:space="0"/>
                    <w:bottom w:val="single" w:color="auto" w:sz="4" w:space="0"/>
                    <w:right w:val="nil"/>
                  </w:tcBorders>
                  <w:noWrap w:val="0"/>
                  <w:vAlign w:val="center"/>
                </w:tcPr>
                <w:p>
                  <w:pPr>
                    <w:spacing w:line="360" w:lineRule="auto"/>
                    <w:jc w:val="center"/>
                    <w:rPr>
                      <w:rFonts w:ascii="宋体" w:hAnsi="宋体"/>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op w:val="single" w:color="auto" w:sz="4" w:space="0"/>
                    <w:left w:val="nil"/>
                    <w:bottom w:val="single" w:color="auto" w:sz="4" w:space="0"/>
                    <w:right w:val="single" w:color="auto" w:sz="4" w:space="0"/>
                  </w:tcBorders>
                  <w:noWrap w:val="0"/>
                  <w:vAlign w:val="center"/>
                </w:tcPr>
                <w:p>
                  <w:pP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《乐山市2022年大气污染防治攻坚工作方案》</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乐污防攻坚〔2022〕1号</w:t>
                  </w:r>
                  <w:r>
                    <w:rPr>
                      <w:rFonts w:hint="default" w:ascii="Times New Roman" w:hAnsi="Times New Roman" w:eastAsia="宋体" w:cs="Times New Roman"/>
                      <w:color w:val="auto"/>
                      <w:szCs w:val="21"/>
                      <w:lang w:eastAsia="zh-CN"/>
                    </w:rPr>
                    <w:t>）</w:t>
                  </w:r>
                </w:p>
                <w:p>
                  <w:pPr>
                    <w:rPr>
                      <w:rFonts w:hint="default" w:ascii="Times New Roman" w:hAnsi="Times New Roman" w:eastAsia="宋体" w:cs="Times New Roman"/>
                      <w:color w:val="auto"/>
                      <w:szCs w:val="21"/>
                      <w:lang w:val="zh-CN" w:eastAsia="zh-CN"/>
                    </w:rPr>
                  </w:pPr>
                </w:p>
              </w:tc>
              <w:tc>
                <w:tcPr>
                  <w:tcW w:w="2046" w:type="pct"/>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推动产业结构和布局优化调整。坚决遏制"两高"项目盲目发展，严格落实国家产业规划、产业政策、"三线一单"、规划环评、以及产能置换、煤炭消费量减量替代、区域污染物削减等要求，坚决叫停不符合要求的"两高"项目，加快退出重点行业落后产能。</w:t>
                  </w:r>
                </w:p>
                <w:p>
                  <w:pPr>
                    <w:rPr>
                      <w:rFonts w:hint="default" w:ascii="Times New Roman" w:hAnsi="Times New Roman" w:eastAsia="宋体" w:cs="Times New Roman"/>
                      <w:color w:val="auto"/>
                      <w:szCs w:val="21"/>
                    </w:rPr>
                  </w:pPr>
                </w:p>
              </w:tc>
              <w:tc>
                <w:tcPr>
                  <w:tcW w:w="1592"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imes New Roman" w:hAnsi="Times New Roman"/>
                      <w:color w:val="auto"/>
                      <w:szCs w:val="21"/>
                    </w:rPr>
                  </w:pPr>
                  <w:r>
                    <w:rPr>
                      <w:rFonts w:hint="eastAsia" w:ascii="Times New Roman" w:hAnsi="Times New Roman"/>
                      <w:color w:val="auto"/>
                      <w:szCs w:val="21"/>
                    </w:rPr>
                    <w:t>本项目</w:t>
                  </w:r>
                  <w:r>
                    <w:rPr>
                      <w:rFonts w:ascii="宋体" w:hAnsi="宋体"/>
                      <w:color w:val="auto"/>
                      <w:szCs w:val="21"/>
                    </w:rPr>
                    <w:t>位于犍为县</w:t>
                  </w:r>
                  <w:r>
                    <w:rPr>
                      <w:rFonts w:hint="eastAsia" w:ascii="宋体" w:hAnsi="宋体"/>
                      <w:color w:val="auto"/>
                      <w:szCs w:val="21"/>
                    </w:rPr>
                    <w:t>舞雩镇</w:t>
                  </w:r>
                  <w:r>
                    <w:rPr>
                      <w:rFonts w:ascii="宋体" w:hAnsi="宋体"/>
                      <w:color w:val="auto"/>
                      <w:szCs w:val="21"/>
                    </w:rPr>
                    <w:t>石马坝工业园区内</w:t>
                  </w:r>
                  <w:r>
                    <w:rPr>
                      <w:rFonts w:hint="eastAsia" w:ascii="宋体" w:hAnsi="宋体"/>
                      <w:color w:val="auto"/>
                      <w:szCs w:val="21"/>
                      <w:lang w:eastAsia="zh-CN"/>
                    </w:rPr>
                    <w:t>，</w:t>
                  </w:r>
                  <w:r>
                    <w:rPr>
                      <w:rFonts w:hint="eastAsia" w:ascii="宋体" w:hAnsi="宋体"/>
                      <w:color w:val="auto"/>
                      <w:szCs w:val="21"/>
                      <w:lang w:val="en-US" w:eastAsia="zh-CN"/>
                    </w:rPr>
                    <w:t>符合当地“</w:t>
                  </w:r>
                  <w:r>
                    <w:rPr>
                      <w:rFonts w:hint="default" w:ascii="Times New Roman" w:hAnsi="Times New Roman" w:eastAsia="宋体" w:cs="Times New Roman"/>
                      <w:color w:val="auto"/>
                      <w:szCs w:val="21"/>
                    </w:rPr>
                    <w:t>三线一单</w:t>
                  </w:r>
                  <w:r>
                    <w:rPr>
                      <w:rFonts w:hint="eastAsia" w:ascii="宋体" w:hAnsi="宋体"/>
                      <w:color w:val="auto"/>
                      <w:szCs w:val="21"/>
                      <w:lang w:val="en-US" w:eastAsia="zh-CN"/>
                    </w:rPr>
                    <w:t>”、</w:t>
                  </w:r>
                  <w:r>
                    <w:rPr>
                      <w:rFonts w:hint="default" w:ascii="Times New Roman" w:hAnsi="Times New Roman" w:eastAsia="宋体" w:cs="Times New Roman"/>
                      <w:color w:val="auto"/>
                      <w:szCs w:val="21"/>
                    </w:rPr>
                    <w:t>规划环评</w:t>
                  </w:r>
                  <w:r>
                    <w:rPr>
                      <w:rFonts w:hint="eastAsia" w:ascii="Times New Roman" w:hAnsi="Times New Roman" w:eastAsia="宋体" w:cs="Times New Roman"/>
                      <w:color w:val="auto"/>
                      <w:szCs w:val="21"/>
                      <w:lang w:val="en-US" w:eastAsia="zh-CN"/>
                    </w:rPr>
                    <w:t>相关要求。本次技改后，废气污染物排放量减少，同时企业</w:t>
                  </w:r>
                  <w:r>
                    <w:rPr>
                      <w:rFonts w:hint="eastAsia" w:ascii="Times New Roman" w:hAnsi="Times New Roman"/>
                      <w:color w:val="auto"/>
                      <w:szCs w:val="21"/>
                    </w:rPr>
                    <w:t>采取“</w:t>
                  </w:r>
                  <w:r>
                    <w:rPr>
                      <w:rFonts w:hint="default" w:ascii="Times New Roman" w:hAnsi="Times New Roman" w:cs="Times New Roman"/>
                      <w:color w:val="auto"/>
                      <w:sz w:val="21"/>
                      <w:szCs w:val="21"/>
                    </w:rPr>
                    <w:t>布袋除尘器+水膜+喷淋塔+UV光解+低温等离子+二级活性炭吸附处理</w:t>
                  </w:r>
                  <w:r>
                    <w:rPr>
                      <w:rFonts w:hint="eastAsia" w:ascii="Times New Roman" w:hAnsi="Times New Roman"/>
                      <w:color w:val="auto"/>
                      <w:szCs w:val="21"/>
                    </w:rPr>
                    <w:t>”治理</w:t>
                  </w:r>
                  <w:r>
                    <w:rPr>
                      <w:rFonts w:hint="eastAsia" w:ascii="Times New Roman" w:hAnsi="Times New Roman"/>
                      <w:color w:val="auto"/>
                      <w:szCs w:val="21"/>
                      <w:lang w:val="en-US" w:eastAsia="zh-CN"/>
                    </w:rPr>
                    <w:t>废气，</w:t>
                  </w:r>
                  <w:r>
                    <w:rPr>
                      <w:rFonts w:hint="eastAsia" w:ascii="Times New Roman" w:hAnsi="Times New Roman"/>
                      <w:color w:val="auto"/>
                      <w:szCs w:val="21"/>
                    </w:rPr>
                    <w:t>保证废气达标排放;在生产过程中企业加强运行管理，制定</w:t>
                  </w:r>
                  <w:r>
                    <w:rPr>
                      <w:rFonts w:hint="eastAsia" w:ascii="Times New Roman" w:hAnsi="Times New Roman"/>
                      <w:color w:val="auto"/>
                      <w:szCs w:val="21"/>
                      <w:lang w:val="en-US" w:eastAsia="zh-CN"/>
                    </w:rPr>
                    <w:t>有</w:t>
                  </w:r>
                  <w:r>
                    <w:rPr>
                      <w:rFonts w:hint="eastAsia" w:ascii="Times New Roman" w:hAnsi="Times New Roman"/>
                      <w:color w:val="auto"/>
                      <w:szCs w:val="21"/>
                    </w:rPr>
                    <w:t>具体操作规程等。</w:t>
                  </w:r>
                </w:p>
              </w:tc>
              <w:tc>
                <w:tcPr>
                  <w:tcW w:w="355" w:type="pct"/>
                  <w:tcBorders>
                    <w:top w:val="single" w:color="auto" w:sz="4" w:space="0"/>
                    <w:left w:val="single" w:color="auto" w:sz="4" w:space="0"/>
                    <w:bottom w:val="single" w:color="auto" w:sz="4" w:space="0"/>
                    <w:right w:val="nil"/>
                  </w:tcBorders>
                  <w:noWrap w:val="0"/>
                  <w:vAlign w:val="center"/>
                </w:tcPr>
                <w:p>
                  <w:pPr>
                    <w:spacing w:line="360" w:lineRule="auto"/>
                    <w:jc w:val="center"/>
                    <w:rPr>
                      <w:rFonts w:hint="eastAsia" w:ascii="宋体" w:hAnsi="宋体" w:eastAsia="宋体"/>
                      <w:color w:val="auto"/>
                      <w:szCs w:val="21"/>
                      <w:lang w:val="en-US" w:eastAsia="zh-CN"/>
                    </w:rPr>
                  </w:pPr>
                  <w:r>
                    <w:rPr>
                      <w:rFonts w:hint="eastAsia" w:ascii="宋体" w:hAnsi="宋体"/>
                      <w:color w:val="auto"/>
                      <w:szCs w:val="21"/>
                      <w:lang w:val="en-US" w:eastAsia="zh-CN"/>
                    </w:rPr>
                    <w:t>符合</w:t>
                  </w:r>
                </w:p>
              </w:tc>
            </w:tr>
          </w:tbl>
          <w:p>
            <w:pPr>
              <w:spacing w:line="360" w:lineRule="auto"/>
              <w:ind w:firstLine="480" w:firstLineChars="200"/>
              <w:rPr>
                <w:rFonts w:ascii="Times New Roman" w:hAnsi="Times New Roman"/>
                <w:color w:val="auto"/>
                <w:sz w:val="24"/>
                <w:szCs w:val="24"/>
              </w:rPr>
            </w:pPr>
            <w:r>
              <w:rPr>
                <w:rFonts w:ascii="宋体" w:hAnsi="宋体"/>
                <w:bCs/>
                <w:color w:val="auto"/>
                <w:kern w:val="0"/>
                <w:sz w:val="24"/>
                <w:szCs w:val="24"/>
              </w:rPr>
              <w:t>本项目位于</w:t>
            </w:r>
            <w:r>
              <w:rPr>
                <w:rFonts w:hint="eastAsia" w:ascii="宋体" w:hAnsi="宋体"/>
                <w:bCs/>
                <w:color w:val="auto"/>
                <w:kern w:val="0"/>
                <w:sz w:val="24"/>
                <w:szCs w:val="24"/>
              </w:rPr>
              <w:t>舞雩镇</w:t>
            </w:r>
            <w:r>
              <w:rPr>
                <w:rFonts w:ascii="宋体" w:hAnsi="宋体"/>
                <w:bCs/>
                <w:color w:val="auto"/>
                <w:kern w:val="0"/>
                <w:sz w:val="24"/>
                <w:szCs w:val="24"/>
              </w:rPr>
              <w:t>石马坝工业园区内，为犍为新型工业基地石马坝工业组团过渡保留区，为技改项目，无生产废水外排，不新增生活污水，生产废</w:t>
            </w:r>
          </w:p>
          <w:p>
            <w:pPr>
              <w:spacing w:line="360" w:lineRule="auto"/>
              <w:ind w:firstLine="480" w:firstLineChars="200"/>
              <w:rPr>
                <w:rFonts w:ascii="Times New Roman" w:hAnsi="Times New Roman"/>
                <w:color w:val="auto"/>
                <w:sz w:val="24"/>
                <w:szCs w:val="24"/>
              </w:rPr>
            </w:pPr>
            <w:r>
              <w:rPr>
                <w:rFonts w:ascii="宋体" w:hAnsi="宋体"/>
                <w:color w:val="auto"/>
                <w:sz w:val="24"/>
                <w:szCs w:val="24"/>
              </w:rPr>
              <w:t>综上分析，本项目与《中华人民共和国大气污染防治法》、《国务院关于印发大气污染防治行动计划的通知》、《挥发性有机物（</w:t>
            </w:r>
            <w:r>
              <w:rPr>
                <w:rFonts w:ascii="Times New Roman" w:hAnsi="Times New Roman"/>
                <w:color w:val="auto"/>
                <w:sz w:val="24"/>
                <w:szCs w:val="24"/>
              </w:rPr>
              <w:t>VOC</w:t>
            </w:r>
            <w:r>
              <w:rPr>
                <w:rFonts w:ascii="Times New Roman" w:hAnsi="Times New Roman"/>
                <w:color w:val="auto"/>
                <w:sz w:val="24"/>
                <w:szCs w:val="24"/>
                <w:vertAlign w:val="subscript"/>
              </w:rPr>
              <w:t>S</w:t>
            </w:r>
            <w:r>
              <w:rPr>
                <w:rFonts w:ascii="宋体" w:hAnsi="宋体"/>
                <w:color w:val="auto"/>
                <w:sz w:val="24"/>
                <w:szCs w:val="24"/>
              </w:rPr>
              <w:t>）污染防治技术政策》、《</w:t>
            </w:r>
            <w:r>
              <w:rPr>
                <w:rFonts w:ascii="Times New Roman" w:hAnsi="Times New Roman"/>
                <w:color w:val="auto"/>
                <w:sz w:val="24"/>
                <w:szCs w:val="24"/>
              </w:rPr>
              <w:t>“</w:t>
            </w:r>
            <w:r>
              <w:rPr>
                <w:rFonts w:ascii="宋体" w:hAnsi="宋体"/>
                <w:color w:val="auto"/>
                <w:sz w:val="24"/>
                <w:szCs w:val="24"/>
              </w:rPr>
              <w:t>十三五</w:t>
            </w:r>
            <w:r>
              <w:rPr>
                <w:rFonts w:ascii="Times New Roman" w:hAnsi="Times New Roman"/>
                <w:color w:val="auto"/>
                <w:sz w:val="24"/>
                <w:szCs w:val="24"/>
              </w:rPr>
              <w:t>”</w:t>
            </w:r>
            <w:r>
              <w:rPr>
                <w:rFonts w:ascii="宋体" w:hAnsi="宋体"/>
                <w:color w:val="auto"/>
                <w:sz w:val="24"/>
                <w:szCs w:val="24"/>
              </w:rPr>
              <w:t>挥发性有机物污染防治工作方案》、《四川省打赢蓝天保卫战等九个实施方案的通知》、《乐山市人民政府关于印发乐山市打赢蓝天保卫战等九个实施方案的通知》、《四川省挥发性有机物污染防治措施方案》（</w:t>
            </w:r>
            <w:r>
              <w:rPr>
                <w:rFonts w:ascii="Times New Roman" w:hAnsi="Times New Roman"/>
                <w:color w:val="auto"/>
                <w:sz w:val="24"/>
                <w:szCs w:val="24"/>
              </w:rPr>
              <w:t>2018~2020</w:t>
            </w:r>
            <w:r>
              <w:rPr>
                <w:rFonts w:ascii="宋体" w:hAnsi="宋体"/>
                <w:color w:val="auto"/>
                <w:sz w:val="24"/>
                <w:szCs w:val="24"/>
              </w:rPr>
              <w:t>年）、《挥发性有机物无组织排放控制标准》（</w:t>
            </w:r>
            <w:r>
              <w:rPr>
                <w:rFonts w:ascii="Times New Roman" w:hAnsi="Times New Roman"/>
                <w:color w:val="auto"/>
                <w:sz w:val="24"/>
                <w:szCs w:val="24"/>
              </w:rPr>
              <w:t>GB37822-2019</w:t>
            </w:r>
            <w:r>
              <w:rPr>
                <w:rFonts w:ascii="宋体" w:hAnsi="宋体"/>
                <w:color w:val="auto"/>
                <w:sz w:val="24"/>
                <w:szCs w:val="24"/>
              </w:rPr>
              <w:t>）</w:t>
            </w:r>
            <w:r>
              <w:rPr>
                <w:rFonts w:hint="eastAsia" w:ascii="宋体" w:hAnsi="宋体"/>
                <w:color w:val="auto"/>
                <w:sz w:val="24"/>
                <w:szCs w:val="24"/>
                <w:lang w:eastAsia="zh-CN"/>
              </w:rPr>
              <w:t>、</w:t>
            </w:r>
            <w:r>
              <w:rPr>
                <w:rFonts w:hint="default" w:ascii="Times New Roman" w:hAnsi="Times New Roman" w:eastAsia="宋体" w:cs="Times New Roman"/>
                <w:color w:val="auto"/>
                <w:spacing w:val="0"/>
                <w:kern w:val="21"/>
                <w:sz w:val="24"/>
                <w:szCs w:val="24"/>
                <w:highlight w:val="none"/>
                <w:lang w:val="zh-CN" w:eastAsia="zh-CN" w:bidi="zh-CN"/>
              </w:rPr>
              <w:t>《重点行业挥发性有机物综合治理方案》</w:t>
            </w:r>
            <w:r>
              <w:rPr>
                <w:rFonts w:hint="eastAsia" w:ascii="Times New Roman" w:hAnsi="Times New Roman" w:eastAsia="宋体" w:cs="Times New Roman"/>
                <w:color w:val="auto"/>
                <w:spacing w:val="0"/>
                <w:kern w:val="21"/>
                <w:sz w:val="24"/>
                <w:szCs w:val="24"/>
                <w:highlight w:val="none"/>
                <w:lang w:val="zh-CN" w:eastAsia="zh-CN" w:bidi="zh-CN"/>
              </w:rPr>
              <w:t>（</w:t>
            </w:r>
            <w:r>
              <w:rPr>
                <w:rFonts w:hint="eastAsia" w:ascii="Times New Roman" w:hAnsi="Times New Roman" w:eastAsia="宋体" w:cs="Times New Roman"/>
                <w:color w:val="auto"/>
                <w:spacing w:val="0"/>
                <w:kern w:val="21"/>
                <w:sz w:val="24"/>
                <w:szCs w:val="24"/>
                <w:highlight w:val="none"/>
                <w:lang w:val="en-US" w:eastAsia="zh-CN" w:bidi="zh-CN"/>
              </w:rPr>
              <w:t>环大气〔2019〕53号）</w:t>
            </w:r>
            <w:r>
              <w:rPr>
                <w:rFonts w:hint="eastAsia" w:cs="Times New Roman"/>
                <w:color w:val="auto"/>
                <w:spacing w:val="0"/>
                <w:kern w:val="21"/>
                <w:sz w:val="24"/>
                <w:szCs w:val="24"/>
                <w:highlight w:val="none"/>
                <w:lang w:val="en-US" w:eastAsia="zh-CN" w:bidi="zh-CN"/>
              </w:rPr>
              <w:t>、《乐山市2022年大气污染防治攻坚工作方案》（乐污防攻坚〔2022〕1号）</w:t>
            </w:r>
            <w:r>
              <w:rPr>
                <w:rFonts w:ascii="宋体" w:hAnsi="宋体"/>
                <w:color w:val="auto"/>
                <w:sz w:val="24"/>
                <w:szCs w:val="24"/>
              </w:rPr>
              <w:t>相关要求相符。</w:t>
            </w:r>
          </w:p>
          <w:p>
            <w:pPr>
              <w:spacing w:line="360" w:lineRule="auto"/>
              <w:rPr>
                <w:rFonts w:ascii="Times New Roman" w:hAnsi="Times New Roman" w:cs="Calibri"/>
                <w:color w:val="auto"/>
                <w:sz w:val="24"/>
                <w:szCs w:val="24"/>
              </w:rPr>
            </w:pPr>
            <w:r>
              <w:rPr>
                <w:rFonts w:hint="eastAsia" w:ascii="宋体" w:hAnsi="宋体"/>
                <w:b/>
                <w:bCs/>
                <w:color w:val="auto"/>
                <w:sz w:val="24"/>
                <w:szCs w:val="24"/>
                <w:lang w:eastAsia="zh-CN"/>
              </w:rPr>
              <w:t>五、</w:t>
            </w:r>
            <w:r>
              <w:rPr>
                <w:rFonts w:hint="eastAsia" w:ascii="宋体" w:hAnsi="宋体"/>
                <w:b/>
                <w:bCs/>
                <w:color w:val="auto"/>
                <w:sz w:val="24"/>
                <w:szCs w:val="24"/>
              </w:rPr>
              <w:t>与水污染防治等相关规划的符合性</w:t>
            </w:r>
          </w:p>
          <w:p>
            <w:pPr>
              <w:spacing w:line="360" w:lineRule="auto"/>
              <w:jc w:val="center"/>
              <w:rPr>
                <w:rFonts w:hint="eastAsia" w:ascii="Times New Roman" w:hAnsi="Times New Roman"/>
                <w:b/>
                <w:bCs/>
                <w:color w:val="auto"/>
                <w:szCs w:val="21"/>
              </w:rPr>
            </w:pPr>
            <w:r>
              <w:rPr>
                <w:rFonts w:ascii="宋体" w:hAnsi="宋体"/>
                <w:b/>
                <w:bCs/>
                <w:color w:val="auto"/>
                <w:szCs w:val="21"/>
              </w:rPr>
              <w:t>表</w:t>
            </w:r>
            <w:r>
              <w:rPr>
                <w:rFonts w:ascii="Times New Roman" w:hAnsi="Times New Roman"/>
                <w:b/>
                <w:bCs/>
                <w:color w:val="auto"/>
                <w:szCs w:val="21"/>
              </w:rPr>
              <w:t>1-</w:t>
            </w:r>
            <w:r>
              <w:rPr>
                <w:rFonts w:hint="eastAsia" w:ascii="Times New Roman" w:hAnsi="Times New Roman"/>
                <w:b/>
                <w:bCs/>
                <w:color w:val="auto"/>
                <w:szCs w:val="21"/>
                <w:lang w:val="en-US" w:eastAsia="zh-CN"/>
              </w:rPr>
              <w:t>7</w:t>
            </w:r>
            <w:r>
              <w:rPr>
                <w:rFonts w:ascii="Times New Roman" w:hAnsi="Times New Roman"/>
                <w:b/>
                <w:bCs/>
                <w:color w:val="auto"/>
                <w:szCs w:val="21"/>
              </w:rPr>
              <w:t xml:space="preserve">  </w:t>
            </w:r>
            <w:r>
              <w:rPr>
                <w:rFonts w:ascii="宋体" w:hAnsi="宋体"/>
                <w:b/>
                <w:bCs/>
                <w:color w:val="auto"/>
                <w:szCs w:val="21"/>
              </w:rPr>
              <w:t>项目与水污染防治等规划符合性</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3847"/>
              <w:gridCol w:w="2379"/>
              <w:gridCol w:w="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870" w:type="pct"/>
                  <w:tcBorders>
                    <w:top w:val="single" w:color="auto" w:sz="12" w:space="0"/>
                    <w:left w:val="nil"/>
                    <w:bottom w:val="single" w:color="auto" w:sz="4" w:space="0"/>
                    <w:right w:val="single" w:color="auto" w:sz="4" w:space="0"/>
                  </w:tcBorders>
                  <w:shd w:val="clear" w:color="auto" w:fill="DCE6F2"/>
                  <w:noWrap w:val="0"/>
                  <w:vAlign w:val="center"/>
                </w:tcPr>
                <w:p>
                  <w:pPr>
                    <w:pStyle w:val="2"/>
                    <w:spacing w:before="0" w:line="240" w:lineRule="auto"/>
                    <w:ind w:left="0" w:right="0" w:firstLine="0"/>
                    <w:jc w:val="center"/>
                    <w:rPr>
                      <w:rFonts w:ascii="Times New Roman" w:hAnsi="Times New Roman" w:eastAsia="宋体" w:cs="Times New Roman"/>
                      <w:b/>
                      <w:bCs w:val="0"/>
                      <w:color w:val="auto"/>
                      <w:sz w:val="21"/>
                      <w:szCs w:val="21"/>
                    </w:rPr>
                  </w:pPr>
                  <w:r>
                    <w:rPr>
                      <w:rFonts w:ascii="宋体" w:eastAsia="宋体" w:cs="Times New Roman"/>
                      <w:b/>
                      <w:bCs w:val="0"/>
                      <w:color w:val="auto"/>
                      <w:sz w:val="21"/>
                      <w:szCs w:val="21"/>
                    </w:rPr>
                    <w:t>水污染防治文件</w:t>
                  </w:r>
                </w:p>
              </w:tc>
              <w:tc>
                <w:tcPr>
                  <w:tcW w:w="2345" w:type="pct"/>
                  <w:tcBorders>
                    <w:top w:val="single" w:color="auto" w:sz="12" w:space="0"/>
                    <w:left w:val="single" w:color="auto" w:sz="4" w:space="0"/>
                    <w:bottom w:val="single" w:color="auto" w:sz="4" w:space="0"/>
                    <w:right w:val="single" w:color="auto" w:sz="4" w:space="0"/>
                  </w:tcBorders>
                  <w:shd w:val="clear" w:color="auto" w:fill="DCE6F2"/>
                  <w:noWrap w:val="0"/>
                  <w:vAlign w:val="center"/>
                </w:tcPr>
                <w:p>
                  <w:pPr>
                    <w:pStyle w:val="2"/>
                    <w:spacing w:before="0" w:line="240" w:lineRule="auto"/>
                    <w:ind w:left="0" w:right="0" w:firstLine="0"/>
                    <w:jc w:val="center"/>
                    <w:rPr>
                      <w:rFonts w:ascii="Times New Roman" w:hAnsi="Times New Roman" w:eastAsia="宋体" w:cs="Times New Roman"/>
                      <w:b/>
                      <w:bCs w:val="0"/>
                      <w:color w:val="auto"/>
                      <w:sz w:val="21"/>
                      <w:szCs w:val="21"/>
                    </w:rPr>
                  </w:pPr>
                  <w:r>
                    <w:rPr>
                      <w:rFonts w:ascii="宋体" w:eastAsia="宋体" w:cs="Times New Roman"/>
                      <w:b/>
                      <w:bCs w:val="0"/>
                      <w:color w:val="auto"/>
                      <w:sz w:val="21"/>
                      <w:szCs w:val="21"/>
                    </w:rPr>
                    <w:t>规划要求</w:t>
                  </w:r>
                </w:p>
              </w:tc>
              <w:tc>
                <w:tcPr>
                  <w:tcW w:w="1450" w:type="pct"/>
                  <w:tcBorders>
                    <w:top w:val="single" w:color="auto" w:sz="12" w:space="0"/>
                    <w:left w:val="single" w:color="auto" w:sz="4" w:space="0"/>
                    <w:bottom w:val="single" w:color="auto" w:sz="4" w:space="0"/>
                    <w:right w:val="single" w:color="auto" w:sz="4" w:space="0"/>
                  </w:tcBorders>
                  <w:shd w:val="clear" w:color="auto" w:fill="DCE6F2"/>
                  <w:noWrap w:val="0"/>
                  <w:vAlign w:val="center"/>
                </w:tcPr>
                <w:p>
                  <w:pPr>
                    <w:pStyle w:val="2"/>
                    <w:spacing w:before="0" w:line="240" w:lineRule="auto"/>
                    <w:ind w:left="0" w:right="0" w:firstLine="0"/>
                    <w:jc w:val="center"/>
                    <w:rPr>
                      <w:rFonts w:ascii="Times New Roman" w:hAnsi="Times New Roman" w:eastAsia="宋体" w:cs="Times New Roman"/>
                      <w:b/>
                      <w:bCs w:val="0"/>
                      <w:color w:val="auto"/>
                      <w:sz w:val="21"/>
                      <w:szCs w:val="21"/>
                    </w:rPr>
                  </w:pPr>
                  <w:r>
                    <w:rPr>
                      <w:rFonts w:ascii="宋体" w:eastAsia="宋体" w:cs="Times New Roman"/>
                      <w:b/>
                      <w:bCs w:val="0"/>
                      <w:color w:val="auto"/>
                      <w:sz w:val="21"/>
                      <w:szCs w:val="21"/>
                    </w:rPr>
                    <w:t>本项目情况</w:t>
                  </w:r>
                </w:p>
              </w:tc>
              <w:tc>
                <w:tcPr>
                  <w:tcW w:w="333" w:type="pct"/>
                  <w:tcBorders>
                    <w:top w:val="single" w:color="auto" w:sz="12" w:space="0"/>
                    <w:left w:val="single" w:color="auto" w:sz="4" w:space="0"/>
                    <w:bottom w:val="single" w:color="auto" w:sz="4" w:space="0"/>
                    <w:right w:val="nil"/>
                  </w:tcBorders>
                  <w:shd w:val="clear" w:color="auto" w:fill="DCE6F2"/>
                  <w:noWrap w:val="0"/>
                  <w:vAlign w:val="center"/>
                </w:tcPr>
                <w:p>
                  <w:pPr>
                    <w:pStyle w:val="2"/>
                    <w:spacing w:before="0" w:line="240" w:lineRule="auto"/>
                    <w:ind w:left="0" w:right="0" w:firstLine="0"/>
                    <w:jc w:val="center"/>
                    <w:rPr>
                      <w:rFonts w:ascii="Times New Roman" w:hAnsi="Times New Roman" w:eastAsia="宋体" w:cs="Times New Roman"/>
                      <w:b/>
                      <w:bCs w:val="0"/>
                      <w:color w:val="auto"/>
                      <w:sz w:val="21"/>
                      <w:szCs w:val="21"/>
                    </w:rPr>
                  </w:pPr>
                  <w:r>
                    <w:rPr>
                      <w:rFonts w:ascii="宋体" w:eastAsia="宋体" w:cs="Times New Roman"/>
                      <w:b/>
                      <w:bCs w:val="0"/>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tcBorders>
                    <w:top w:val="single" w:color="auto" w:sz="4" w:space="0"/>
                    <w:left w:val="nil"/>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国务院关于印发水污染防治行动计划的通知</w:t>
                  </w:r>
                  <w:r>
                    <w:rPr>
                      <w:rFonts w:ascii="Times New Roman" w:hAnsi="Times New Roman" w:eastAsia="宋体" w:cs="Times New Roman"/>
                      <w:bCs/>
                      <w:color w:val="auto"/>
                      <w:sz w:val="21"/>
                      <w:szCs w:val="21"/>
                    </w:rPr>
                    <w:t>“</w:t>
                  </w:r>
                  <w:r>
                    <w:rPr>
                      <w:rFonts w:ascii="宋体" w:eastAsia="宋体" w:cs="Times New Roman"/>
                      <w:bCs/>
                      <w:color w:val="auto"/>
                      <w:sz w:val="21"/>
                      <w:szCs w:val="21"/>
                    </w:rPr>
                    <w:t>国发</w:t>
                  </w:r>
                  <w:r>
                    <w:rPr>
                      <w:rFonts w:ascii="Times New Roman" w:hAnsi="Times New Roman" w:eastAsia="宋体" w:cs="Times New Roman"/>
                      <w:bCs/>
                      <w:color w:val="auto"/>
                      <w:sz w:val="21"/>
                      <w:szCs w:val="21"/>
                    </w:rPr>
                    <w:t>[2015]17</w:t>
                  </w:r>
                  <w:r>
                    <w:rPr>
                      <w:rFonts w:ascii="宋体" w:eastAsia="宋体" w:cs="Times New Roman"/>
                      <w:bCs/>
                      <w:color w:val="auto"/>
                      <w:sz w:val="21"/>
                      <w:szCs w:val="21"/>
                    </w:rPr>
                    <w:t>号</w:t>
                  </w:r>
                  <w:r>
                    <w:rPr>
                      <w:rFonts w:ascii="Times New Roman" w:hAnsi="Times New Roman" w:eastAsia="宋体" w:cs="Times New Roman"/>
                      <w:bCs/>
                      <w:color w:val="auto"/>
                      <w:sz w:val="21"/>
                      <w:szCs w:val="21"/>
                    </w:rPr>
                    <w:t>”</w:t>
                  </w:r>
                  <w:r>
                    <w:rPr>
                      <w:rFonts w:ascii="宋体" w:eastAsia="宋体" w:cs="Times New Roman"/>
                      <w:bCs/>
                      <w:color w:val="auto"/>
                      <w:sz w:val="21"/>
                      <w:szCs w:val="21"/>
                    </w:rPr>
                    <w:t>《重点流域水污染防治规划》（</w:t>
                  </w:r>
                  <w:r>
                    <w:rPr>
                      <w:rFonts w:ascii="Times New Roman" w:hAnsi="Times New Roman" w:eastAsia="宋体" w:cs="Times New Roman"/>
                      <w:bCs/>
                      <w:color w:val="auto"/>
                      <w:sz w:val="21"/>
                      <w:szCs w:val="21"/>
                    </w:rPr>
                    <w:t>2016~2020</w:t>
                  </w:r>
                  <w:r>
                    <w:rPr>
                      <w:rFonts w:ascii="宋体" w:eastAsia="宋体" w:cs="Times New Roman"/>
                      <w:bCs/>
                      <w:color w:val="auto"/>
                      <w:sz w:val="21"/>
                      <w:szCs w:val="21"/>
                    </w:rPr>
                    <w:t>年）</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七）推进循环发展。加强工业水循环利用。推进矿井水综合利用，煤炭矿区的补充用水、周边地区生产和生态用水应优先使用矿井水，加强洗煤废水循环利用。鼓励钢铁、纺织印染、造纸、石油石化、化工、制革等高耗水企业废水深度处理回用。具备使用再生水条件但未充分利用的钢铁、火电、化工、制浆造纸、印染等项目，不得批准其新增取水许可。</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本项目无生产废水外排，</w:t>
                  </w:r>
                  <w:r>
                    <w:rPr>
                      <w:rFonts w:hint="eastAsia" w:ascii="宋体" w:eastAsia="宋体" w:cs="Times New Roman"/>
                      <w:bCs/>
                      <w:color w:val="auto"/>
                      <w:sz w:val="21"/>
                      <w:szCs w:val="21"/>
                      <w:lang w:val="en-US" w:eastAsia="zh-CN"/>
                    </w:rPr>
                    <w:t>本次技改</w:t>
                  </w:r>
                  <w:r>
                    <w:rPr>
                      <w:rFonts w:ascii="宋体" w:eastAsia="宋体" w:cs="Times New Roman"/>
                      <w:bCs/>
                      <w:color w:val="auto"/>
                      <w:sz w:val="21"/>
                      <w:szCs w:val="21"/>
                    </w:rPr>
                    <w:t>无新增生活污水。</w:t>
                  </w:r>
                  <w:r>
                    <w:rPr>
                      <w:rFonts w:hint="eastAsia" w:ascii="宋体" w:eastAsia="宋体" w:cs="Times New Roman"/>
                      <w:bCs/>
                      <w:color w:val="auto"/>
                      <w:sz w:val="21"/>
                      <w:szCs w:val="21"/>
                    </w:rPr>
                    <w:t>项目生产废水经自建污水处理站处理后循环回用；冷却水循环使用不外排；生活污水经厂内预处理池处理后排入市政污水管网，最终进入犍为县污水处理厂处理后达标排放</w:t>
                  </w:r>
                  <w:r>
                    <w:rPr>
                      <w:rFonts w:ascii="宋体" w:eastAsia="宋体" w:cs="Times New Roman"/>
                      <w:bCs/>
                      <w:color w:val="auto"/>
                      <w:sz w:val="21"/>
                      <w:szCs w:val="21"/>
                    </w:rPr>
                    <w:t>。</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restart"/>
                  <w:tcBorders>
                    <w:top w:val="single" w:color="auto" w:sz="4" w:space="0"/>
                    <w:left w:val="nil"/>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国家发展改革委、环境保护部印发关于加强长江黄金水道环境污染防控治理的指导意见的通知（发改环资</w:t>
                  </w:r>
                  <w:r>
                    <w:rPr>
                      <w:rFonts w:ascii="Times New Roman" w:hAnsi="Times New Roman" w:eastAsia="宋体" w:cs="Times New Roman"/>
                      <w:bCs/>
                      <w:color w:val="auto"/>
                      <w:sz w:val="21"/>
                      <w:szCs w:val="21"/>
                    </w:rPr>
                    <w:t>[2016]370</w:t>
                  </w:r>
                  <w:r>
                    <w:rPr>
                      <w:rFonts w:ascii="宋体" w:eastAsia="宋体" w:cs="Times New Roman"/>
                      <w:bCs/>
                      <w:color w:val="auto"/>
                      <w:sz w:val="21"/>
                      <w:szCs w:val="21"/>
                    </w:rPr>
                    <w:t>号）</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（五）加强饮用水水源地保护：严格执行水源地保护管理条例及相关法律法规，优化沿江取水口和排污口布局，科学划定水源保护区，加快应急备用水源建设。</w:t>
                  </w:r>
                  <w:r>
                    <w:rPr>
                      <w:rFonts w:ascii="Times New Roman" w:hAnsi="Times New Roman" w:eastAsia="宋体" w:cs="Times New Roman"/>
                      <w:bCs/>
                      <w:color w:val="auto"/>
                      <w:sz w:val="21"/>
                      <w:szCs w:val="21"/>
                    </w:rPr>
                    <w:t>2016</w:t>
                  </w:r>
                  <w:r>
                    <w:rPr>
                      <w:rFonts w:ascii="宋体" w:eastAsia="宋体" w:cs="Times New Roman"/>
                      <w:bCs/>
                      <w:color w:val="auto"/>
                      <w:sz w:val="21"/>
                      <w:szCs w:val="21"/>
                    </w:rPr>
                    <w:t>年底前，全面取缔水源保护区、自然保护区、风景名胜区等禁设区域内的排污口；对没有满足水功能区管理要求和影响取水安全的排污口限期整改，整改不到位的一律取消。加强水源地水质监测能力建设，提升水质安全监测预警能力。</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项目所在区域饮用水源为地下水，项目无生产废水外排，无新增生活污水。</w:t>
                  </w:r>
                  <w:r>
                    <w:rPr>
                      <w:rFonts w:hint="eastAsia" w:ascii="宋体" w:eastAsia="宋体" w:cs="Times New Roman"/>
                      <w:bCs/>
                      <w:color w:val="auto"/>
                      <w:sz w:val="21"/>
                      <w:szCs w:val="21"/>
                    </w:rPr>
                    <w:t>项目生产废水经自建污水处理站处理后循环回用；冷却水循环使用不外排；生活污水经厂内预处理池处理后排入市政污水管网，最终进入犍为县污水处理厂处理后达标排放</w:t>
                  </w:r>
                  <w:r>
                    <w:rPr>
                      <w:rFonts w:ascii="宋体" w:eastAsia="宋体" w:cs="Times New Roman"/>
                      <w:bCs/>
                      <w:color w:val="auto"/>
                      <w:sz w:val="21"/>
                      <w:szCs w:val="21"/>
                    </w:rPr>
                    <w:t>。满足《四川省饮用水保护条例》要求。</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（六）优化沿江产业空间布局：落实主体功能区战略，实施差别化的区域产业政策。科学划定岸线功能分区边界，严格分区管理和用途管制。坚持</w:t>
                  </w:r>
                  <w:r>
                    <w:rPr>
                      <w:rFonts w:ascii="Times New Roman" w:hAnsi="Times New Roman" w:eastAsia="宋体" w:cs="Times New Roman"/>
                      <w:bCs/>
                      <w:color w:val="auto"/>
                      <w:sz w:val="21"/>
                      <w:szCs w:val="21"/>
                    </w:rPr>
                    <w:t>“</w:t>
                  </w:r>
                  <w:r>
                    <w:rPr>
                      <w:rFonts w:ascii="宋体" w:eastAsia="宋体" w:cs="Times New Roman"/>
                      <w:bCs/>
                      <w:color w:val="auto"/>
                      <w:sz w:val="21"/>
                      <w:szCs w:val="21"/>
                    </w:rPr>
                    <w:t>以水定发展</w:t>
                  </w:r>
                  <w:r>
                    <w:rPr>
                      <w:rFonts w:ascii="Times New Roman" w:hAnsi="Times New Roman" w:eastAsia="宋体" w:cs="Times New Roman"/>
                      <w:bCs/>
                      <w:color w:val="auto"/>
                      <w:sz w:val="21"/>
                      <w:szCs w:val="21"/>
                    </w:rPr>
                    <w:t>”</w:t>
                  </w:r>
                  <w:r>
                    <w:rPr>
                      <w:rFonts w:ascii="宋体" w:eastAsia="宋体" w:cs="Times New Roman"/>
                      <w:bCs/>
                      <w:color w:val="auto"/>
                      <w:sz w:val="21"/>
                      <w:szCs w:val="21"/>
                    </w:rPr>
                    <w:t>，统筹规划沿江岸线资源，严控下游高污染、高排放企业向上游转移。除在建项目外，严禁在干流及主要支流岸线</w:t>
                  </w:r>
                  <w:r>
                    <w:rPr>
                      <w:rFonts w:ascii="Times New Roman" w:hAnsi="Times New Roman" w:eastAsia="宋体" w:cs="Times New Roman"/>
                      <w:bCs/>
                      <w:color w:val="auto"/>
                      <w:sz w:val="21"/>
                      <w:szCs w:val="21"/>
                    </w:rPr>
                    <w:t>1</w:t>
                  </w:r>
                  <w:r>
                    <w:rPr>
                      <w:rFonts w:ascii="宋体" w:eastAsia="宋体" w:cs="Times New Roman"/>
                      <w:bCs/>
                      <w:color w:val="auto"/>
                      <w:sz w:val="21"/>
                      <w:szCs w:val="21"/>
                    </w:rPr>
                    <w:t>公里范围内新建布局重化工园区，严控在中上游沿岸地区新建石油化工和煤化工项目。</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岷江为长江主要干流之一，项目所在园区位于岷江沿线。但项目为</w:t>
                  </w:r>
                  <w:r>
                    <w:rPr>
                      <w:rFonts w:hint="eastAsia" w:ascii="宋体" w:eastAsia="宋体" w:cs="Times New Roman"/>
                      <w:bCs/>
                      <w:color w:val="auto"/>
                      <w:sz w:val="21"/>
                      <w:szCs w:val="21"/>
                    </w:rPr>
                    <w:t>非金属废料和碎屑加工处理</w:t>
                  </w:r>
                  <w:r>
                    <w:rPr>
                      <w:rFonts w:ascii="宋体" w:eastAsia="宋体" w:cs="Times New Roman"/>
                      <w:bCs/>
                      <w:color w:val="auto"/>
                      <w:sz w:val="21"/>
                      <w:szCs w:val="21"/>
                    </w:rPr>
                    <w:t>项目，不属于新建石油化工或煤化工项目。</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七）加快沿江产业结构调整：实施创新驱动发展战略，推动战略性新兴产业和先进制造业健康发展，发展壮大服务业，有序开发沿江旅游资源。大力发展低耗水、低排放、低污染、无毒无害产业，推进传统产业清洁生产和循环化改造。制定实施分年度落后产能淘汰方案，</w:t>
                  </w:r>
                  <w:r>
                    <w:rPr>
                      <w:rFonts w:ascii="Times New Roman" w:hAnsi="Times New Roman" w:eastAsia="宋体" w:cs="Times New Roman"/>
                      <w:bCs/>
                      <w:color w:val="auto"/>
                      <w:sz w:val="21"/>
                      <w:szCs w:val="21"/>
                    </w:rPr>
                    <w:t>2016</w:t>
                  </w:r>
                  <w:r>
                    <w:rPr>
                      <w:rFonts w:ascii="宋体" w:eastAsia="宋体" w:cs="Times New Roman"/>
                      <w:bCs/>
                      <w:color w:val="auto"/>
                      <w:sz w:val="21"/>
                      <w:szCs w:val="21"/>
                    </w:rPr>
                    <w:t>年底前，全面取缔</w:t>
                  </w:r>
                  <w:r>
                    <w:rPr>
                      <w:rFonts w:ascii="Times New Roman" w:hAnsi="Times New Roman" w:eastAsia="宋体" w:cs="Times New Roman"/>
                      <w:bCs/>
                      <w:color w:val="auto"/>
                      <w:sz w:val="21"/>
                      <w:szCs w:val="21"/>
                    </w:rPr>
                    <w:t>“</w:t>
                  </w:r>
                  <w:r>
                    <w:rPr>
                      <w:rFonts w:ascii="宋体" w:eastAsia="宋体" w:cs="Times New Roman"/>
                      <w:bCs/>
                      <w:color w:val="auto"/>
                      <w:sz w:val="21"/>
                      <w:szCs w:val="21"/>
                    </w:rPr>
                    <w:t>十小</w:t>
                  </w:r>
                  <w:r>
                    <w:rPr>
                      <w:rFonts w:ascii="Times New Roman" w:hAnsi="Times New Roman" w:eastAsia="宋体" w:cs="Times New Roman"/>
                      <w:bCs/>
                      <w:color w:val="auto"/>
                      <w:sz w:val="21"/>
                      <w:szCs w:val="21"/>
                    </w:rPr>
                    <w:t>”</w:t>
                  </w:r>
                  <w:r>
                    <w:rPr>
                      <w:rFonts w:ascii="宋体" w:eastAsia="宋体" w:cs="Times New Roman"/>
                      <w:bCs/>
                      <w:color w:val="auto"/>
                      <w:sz w:val="21"/>
                      <w:szCs w:val="21"/>
                    </w:rPr>
                    <w:t>企业。在三峡库区等重点水功能区，加快淘汰潜在环境风险大、升级改造困难的企业。</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本项目为</w:t>
                  </w:r>
                  <w:r>
                    <w:rPr>
                      <w:rFonts w:hint="eastAsia" w:ascii="宋体" w:eastAsia="宋体" w:cs="Times New Roman"/>
                      <w:bCs/>
                      <w:color w:val="auto"/>
                      <w:sz w:val="21"/>
                      <w:szCs w:val="21"/>
                    </w:rPr>
                    <w:t>非金属废料和碎屑加工处理</w:t>
                  </w:r>
                  <w:r>
                    <w:rPr>
                      <w:rFonts w:ascii="宋体" w:eastAsia="宋体" w:cs="Times New Roman"/>
                      <w:bCs/>
                      <w:color w:val="auto"/>
                      <w:sz w:val="21"/>
                      <w:szCs w:val="21"/>
                    </w:rPr>
                    <w:t>项目，不属于被取缔的</w:t>
                  </w:r>
                  <w:r>
                    <w:rPr>
                      <w:rFonts w:ascii="Times New Roman" w:hAnsi="Times New Roman" w:eastAsia="宋体" w:cs="Times New Roman"/>
                      <w:bCs/>
                      <w:color w:val="auto"/>
                      <w:sz w:val="21"/>
                      <w:szCs w:val="21"/>
                    </w:rPr>
                    <w:t>“</w:t>
                  </w:r>
                  <w:r>
                    <w:rPr>
                      <w:rFonts w:ascii="宋体" w:eastAsia="宋体" w:cs="Times New Roman"/>
                      <w:bCs/>
                      <w:color w:val="auto"/>
                      <w:sz w:val="21"/>
                      <w:szCs w:val="21"/>
                    </w:rPr>
                    <w:t>十小</w:t>
                  </w:r>
                  <w:r>
                    <w:rPr>
                      <w:rFonts w:ascii="Times New Roman" w:hAnsi="Times New Roman" w:eastAsia="宋体" w:cs="Times New Roman"/>
                      <w:bCs/>
                      <w:color w:val="auto"/>
                      <w:sz w:val="21"/>
                      <w:szCs w:val="21"/>
                    </w:rPr>
                    <w:t>”</w:t>
                  </w:r>
                  <w:r>
                    <w:rPr>
                      <w:rFonts w:ascii="宋体" w:eastAsia="宋体" w:cs="Times New Roman"/>
                      <w:bCs/>
                      <w:color w:val="auto"/>
                      <w:sz w:val="21"/>
                      <w:szCs w:val="21"/>
                    </w:rPr>
                    <w:t>企业。</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八）严格沿江产业准入：加强沿江各类开发建设规划和规划环评工作，完善空间准入、产业准入和环境准入的负面清单管理模式，建立健全准入标准，从严审批产生有毒有害污染物的新建和改扩建项目。强化环评管理，新建、改建、扩建重点行业项目实行主要水污染物排放减量置换，严控新增污染物排放。加强高耗水行业用水定额管理，严格控制高耗水项目建设。</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项目拟建于符合规划的工业园区，无生产废水外排，不新增生活污水。</w:t>
                  </w:r>
                  <w:r>
                    <w:rPr>
                      <w:rFonts w:hint="eastAsia" w:ascii="宋体" w:eastAsia="宋体" w:cs="Times New Roman"/>
                      <w:bCs/>
                      <w:color w:val="auto"/>
                      <w:sz w:val="21"/>
                      <w:szCs w:val="21"/>
                    </w:rPr>
                    <w:t>项目生产废水经自建污水处理站处理后循环回用；冷却水循环使用不外排；生活污水经厂内预处理池处理后排入市政污水管网，最终进入犍为县污水处理厂处理后达标排放</w:t>
                  </w:r>
                  <w:r>
                    <w:rPr>
                      <w:rFonts w:ascii="宋体" w:eastAsia="宋体" w:cs="Times New Roman"/>
                      <w:bCs/>
                      <w:color w:val="auto"/>
                      <w:sz w:val="21"/>
                      <w:szCs w:val="21"/>
                    </w:rPr>
                    <w:t>。</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（九）推进沿江产业水循环利用：加大火电、钢铁、造纸、化工、纺织等行业节水改造力度，开展园区废水循环综合利用试点。到</w:t>
                  </w:r>
                  <w:r>
                    <w:rPr>
                      <w:rFonts w:ascii="Times New Roman" w:hAnsi="Times New Roman" w:eastAsia="宋体" w:cs="Times New Roman"/>
                      <w:bCs/>
                      <w:color w:val="auto"/>
                      <w:sz w:val="21"/>
                      <w:szCs w:val="21"/>
                    </w:rPr>
                    <w:t>2020</w:t>
                  </w:r>
                  <w:r>
                    <w:rPr>
                      <w:rFonts w:ascii="宋体" w:eastAsia="宋体" w:cs="Times New Roman"/>
                      <w:bCs/>
                      <w:color w:val="auto"/>
                      <w:sz w:val="21"/>
                      <w:szCs w:val="21"/>
                    </w:rPr>
                    <w:t>年，长江经济带万元工业增加值用水量比</w:t>
                  </w:r>
                  <w:r>
                    <w:rPr>
                      <w:rFonts w:ascii="Times New Roman" w:hAnsi="Times New Roman" w:eastAsia="宋体" w:cs="Times New Roman"/>
                      <w:bCs/>
                      <w:color w:val="auto"/>
                      <w:sz w:val="21"/>
                      <w:szCs w:val="21"/>
                    </w:rPr>
                    <w:t>2015</w:t>
                  </w:r>
                  <w:r>
                    <w:rPr>
                      <w:rFonts w:ascii="宋体" w:eastAsia="宋体" w:cs="Times New Roman"/>
                      <w:bCs/>
                      <w:color w:val="auto"/>
                      <w:sz w:val="21"/>
                      <w:szCs w:val="21"/>
                    </w:rPr>
                    <w:t>年下降</w:t>
                  </w:r>
                  <w:r>
                    <w:rPr>
                      <w:rFonts w:ascii="Times New Roman" w:hAnsi="Times New Roman" w:eastAsia="宋体" w:cs="Times New Roman"/>
                      <w:bCs/>
                      <w:color w:val="auto"/>
                      <w:sz w:val="21"/>
                      <w:szCs w:val="21"/>
                    </w:rPr>
                    <w:t>30%</w:t>
                  </w:r>
                  <w:r>
                    <w:rPr>
                      <w:rFonts w:ascii="宋体" w:eastAsia="宋体" w:cs="Times New Roman"/>
                      <w:bCs/>
                      <w:color w:val="auto"/>
                      <w:sz w:val="21"/>
                      <w:szCs w:val="21"/>
                    </w:rPr>
                    <w:t>以上。建设雨水收集利用设施，加大再生水利用力度。推广节水灌溉技术，提高农业灌溉用水效率，开展设施渔业养殖废水综合利用。</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本项目无生产废水外排，无新增生活污水。</w:t>
                  </w:r>
                  <w:r>
                    <w:rPr>
                      <w:rFonts w:hint="eastAsia" w:ascii="宋体" w:eastAsia="宋体" w:cs="Times New Roman"/>
                      <w:bCs/>
                      <w:color w:val="auto"/>
                      <w:sz w:val="21"/>
                      <w:szCs w:val="21"/>
                    </w:rPr>
                    <w:t>项目生产废水经自建污水处理站处理后循环回用；冷却水循环使用不外排；生活污水经厂内预处理池处理后排入市政污水管网，最终进入犍为县污水处理厂处理后达标排放</w:t>
                  </w:r>
                  <w:r>
                    <w:rPr>
                      <w:rFonts w:ascii="宋体" w:eastAsia="宋体" w:cs="Times New Roman"/>
                      <w:bCs/>
                      <w:color w:val="auto"/>
                      <w:sz w:val="21"/>
                      <w:szCs w:val="21"/>
                    </w:rPr>
                    <w:t>。</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（十）狠抓工业污染防治：全面排查沿江工业污染源，对不能达标排放的企业一律停产整顿，限期治理后仍不能达到要求的，依法关闭。</w:t>
                  </w:r>
                  <w:r>
                    <w:rPr>
                      <w:rFonts w:ascii="Times New Roman" w:hAnsi="Times New Roman" w:eastAsia="宋体" w:cs="Times New Roman"/>
                      <w:bCs/>
                      <w:color w:val="auto"/>
                      <w:sz w:val="21"/>
                      <w:szCs w:val="21"/>
                    </w:rPr>
                    <w:t>2016</w:t>
                  </w:r>
                  <w:r>
                    <w:rPr>
                      <w:rFonts w:ascii="宋体" w:eastAsia="宋体" w:cs="Times New Roman"/>
                      <w:bCs/>
                      <w:color w:val="auto"/>
                      <w:sz w:val="21"/>
                      <w:szCs w:val="21"/>
                    </w:rPr>
                    <w:t>年底前，完成造纸、制革、电镀、印染、有色金属等重点行业专项治理任务。强化工业集聚区污染治理，引导工业企业向产业园区集中。</w:t>
                  </w:r>
                  <w:r>
                    <w:rPr>
                      <w:rFonts w:ascii="Times New Roman" w:hAnsi="Times New Roman" w:eastAsia="宋体" w:cs="Times New Roman"/>
                      <w:bCs/>
                      <w:color w:val="auto"/>
                      <w:sz w:val="21"/>
                      <w:szCs w:val="21"/>
                    </w:rPr>
                    <w:t>2017</w:t>
                  </w:r>
                  <w:r>
                    <w:rPr>
                      <w:rFonts w:ascii="宋体" w:eastAsia="宋体" w:cs="Times New Roman"/>
                      <w:bCs/>
                      <w:color w:val="auto"/>
                      <w:sz w:val="21"/>
                      <w:szCs w:val="21"/>
                    </w:rPr>
                    <w:t>年底前，长江经济带全部工业集聚（园）区必须建成污水集中处理设施及自动在线监控装置，并稳定运行，长三角区域提前一年完成。</w:t>
                  </w:r>
                  <w:r>
                    <w:rPr>
                      <w:rFonts w:ascii="Times New Roman" w:hAnsi="Times New Roman" w:eastAsia="宋体" w:cs="Times New Roman"/>
                      <w:bCs/>
                      <w:color w:val="auto"/>
                      <w:sz w:val="21"/>
                      <w:szCs w:val="21"/>
                    </w:rPr>
                    <w:t>2018</w:t>
                  </w:r>
                  <w:r>
                    <w:rPr>
                      <w:rFonts w:ascii="宋体" w:eastAsia="宋体" w:cs="Times New Roman"/>
                      <w:bCs/>
                      <w:color w:val="auto"/>
                      <w:sz w:val="21"/>
                      <w:szCs w:val="21"/>
                    </w:rPr>
                    <w:t>年底前，完成沿江已有工业集聚（园）区环境影响核查和跟踪评价，以及省级以上园区循环化改造。</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本项目无生产废水外排，无新增生活污水。</w:t>
                  </w:r>
                  <w:r>
                    <w:rPr>
                      <w:rFonts w:hint="eastAsia" w:ascii="宋体" w:eastAsia="宋体" w:cs="Times New Roman"/>
                      <w:bCs/>
                      <w:color w:val="auto"/>
                      <w:sz w:val="21"/>
                      <w:szCs w:val="21"/>
                    </w:rPr>
                    <w:t>项目生产废水经自建污水处理站处理后循环回用；冷却水循环使用不外排；生活污水经厂内预处理池处理后排入市政污水管网，最终进入犍为县污水处理厂处理后达标排放</w:t>
                  </w:r>
                  <w:r>
                    <w:rPr>
                      <w:rFonts w:ascii="宋体" w:eastAsia="宋体" w:cs="Times New Roman"/>
                      <w:bCs/>
                      <w:color w:val="auto"/>
                      <w:sz w:val="21"/>
                      <w:szCs w:val="21"/>
                    </w:rPr>
                    <w:t>。</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（二十二）提高重点生态区域生态功能：划定生态保护红线，加强重要生态保护区、水源涵养区、生态环境敏感区和脆弱区等区域生态保护与修复、江河源头区保护，重点加强皖南</w:t>
                  </w:r>
                  <w:r>
                    <w:rPr>
                      <w:rFonts w:ascii="Times New Roman" w:hAnsi="Times New Roman" w:eastAsia="宋体" w:cs="Times New Roman"/>
                      <w:bCs/>
                      <w:color w:val="auto"/>
                      <w:sz w:val="21"/>
                      <w:szCs w:val="21"/>
                    </w:rPr>
                    <w:t>-</w:t>
                  </w:r>
                  <w:r>
                    <w:rPr>
                      <w:rFonts w:ascii="宋体" w:eastAsia="宋体" w:cs="Times New Roman"/>
                      <w:bCs/>
                      <w:color w:val="auto"/>
                      <w:sz w:val="21"/>
                      <w:szCs w:val="21"/>
                    </w:rPr>
                    <w:t>浙西南、大别山</w:t>
                  </w:r>
                  <w:r>
                    <w:rPr>
                      <w:rFonts w:ascii="Times New Roman" w:hAnsi="Times New Roman" w:eastAsia="宋体" w:cs="Times New Roman"/>
                      <w:bCs/>
                      <w:color w:val="auto"/>
                      <w:sz w:val="21"/>
                      <w:szCs w:val="21"/>
                    </w:rPr>
                    <w:t>-</w:t>
                  </w:r>
                  <w:r>
                    <w:rPr>
                      <w:rFonts w:ascii="宋体" w:eastAsia="宋体" w:cs="Times New Roman"/>
                      <w:bCs/>
                      <w:color w:val="auto"/>
                      <w:sz w:val="21"/>
                      <w:szCs w:val="21"/>
                    </w:rPr>
                    <w:t>罗霄山、秦巴山</w:t>
                  </w:r>
                  <w:r>
                    <w:rPr>
                      <w:rFonts w:ascii="Times New Roman" w:hAnsi="Times New Roman" w:eastAsia="宋体" w:cs="Times New Roman"/>
                      <w:bCs/>
                      <w:color w:val="auto"/>
                      <w:sz w:val="21"/>
                      <w:szCs w:val="21"/>
                    </w:rPr>
                    <w:t>-</w:t>
                  </w:r>
                  <w:r>
                    <w:rPr>
                      <w:rFonts w:ascii="宋体" w:eastAsia="宋体" w:cs="Times New Roman"/>
                      <w:bCs/>
                      <w:color w:val="auto"/>
                      <w:sz w:val="21"/>
                      <w:szCs w:val="21"/>
                    </w:rPr>
                    <w:t>武陵山、川滇高原四大生态功能区建设。强化生物多样性保护优先区域、自然保护区、风景名胜区、森林公园、湿地保护与建设，探索建立沿江国家公园。开展珍稀濒危水生生物和重要水产种质资源跟踪观测和科学研究，根据需要采取就地和迁地保护措施，加强水生生物多样性保护。</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本项目位于</w:t>
                  </w:r>
                  <w:r>
                    <w:rPr>
                      <w:rFonts w:hint="eastAsia" w:ascii="宋体" w:eastAsia="宋体" w:cs="Times New Roman"/>
                      <w:bCs/>
                      <w:color w:val="auto"/>
                      <w:sz w:val="21"/>
                      <w:szCs w:val="21"/>
                    </w:rPr>
                    <w:t>舞雩镇</w:t>
                  </w:r>
                  <w:r>
                    <w:rPr>
                      <w:rFonts w:ascii="宋体" w:eastAsia="宋体" w:cs="Times New Roman"/>
                      <w:bCs/>
                      <w:color w:val="auto"/>
                      <w:sz w:val="21"/>
                      <w:szCs w:val="21"/>
                    </w:rPr>
                    <w:t>石马坝工业园区内，为犍为县新型工业基地过渡保留区，不涉及犍为县生态红线范围。</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restart"/>
                  <w:tcBorders>
                    <w:top w:val="single" w:color="auto" w:sz="4" w:space="0"/>
                    <w:left w:val="nil"/>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四川省人民政府关于印发水污染防治行动计划四川省工作方案的通知（川府发</w:t>
                  </w:r>
                  <w:r>
                    <w:rPr>
                      <w:rFonts w:ascii="Times New Roman" w:hAnsi="Times New Roman" w:eastAsia="宋体" w:cs="Times New Roman"/>
                      <w:bCs/>
                      <w:color w:val="auto"/>
                      <w:sz w:val="21"/>
                      <w:szCs w:val="21"/>
                    </w:rPr>
                    <w:t>[2015]59</w:t>
                  </w:r>
                  <w:r>
                    <w:rPr>
                      <w:rFonts w:ascii="宋体" w:eastAsia="宋体" w:cs="Times New Roman"/>
                      <w:bCs/>
                      <w:color w:val="auto"/>
                      <w:sz w:val="21"/>
                      <w:szCs w:val="21"/>
                    </w:rPr>
                    <w:t>号）</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w:t>
                  </w:r>
                  <w:r>
                    <w:rPr>
                      <w:rFonts w:ascii="宋体" w:eastAsia="宋体" w:cs="Times New Roman"/>
                      <w:bCs/>
                      <w:color w:val="auto"/>
                      <w:sz w:val="21"/>
                      <w:szCs w:val="21"/>
                    </w:rPr>
                    <w:t>合理确定发展布局、结构和规模。充分考虑水资源、水环境承载能力，以水定城、以水定地、以水定人、以水定产。重大项目原则上布局在优化开发区和重点开发区，并符合城乡规划和土地利用总体规划；鼓励发展节水高效现代农业、低耗水高新技术产业及生态保护型旅游业，严格控制缺水、水污染严重地方和敏感区域的高耗水、高污染行业发展；长江干流（四川段）沿岸应严格控制石油加工、化学原料和化学制品制造、医药制造、化学纤维制造、有色金属冶炼、纺织印染等项目环境风险，合理布局生产装置及危险化学品仓储等设施。</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项目位于</w:t>
                  </w:r>
                  <w:r>
                    <w:rPr>
                      <w:rFonts w:hint="eastAsia" w:ascii="宋体" w:eastAsia="宋体" w:cs="Times New Roman"/>
                      <w:bCs/>
                      <w:color w:val="auto"/>
                      <w:sz w:val="21"/>
                      <w:szCs w:val="21"/>
                    </w:rPr>
                    <w:t>舞雩镇</w:t>
                  </w:r>
                  <w:r>
                    <w:rPr>
                      <w:rFonts w:ascii="宋体" w:eastAsia="宋体" w:cs="Times New Roman"/>
                      <w:bCs/>
                      <w:color w:val="auto"/>
                      <w:sz w:val="21"/>
                      <w:szCs w:val="21"/>
                    </w:rPr>
                    <w:t>石马坝工业园区内，属于园区允许发展产业，符合园区及当地产业发展规划，不属于长江干流（四川段）沿岸应严格控制行业类别。项目所在岷江流域水资源丰富，且水质达标。</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w:t>
                  </w:r>
                  <w:r>
                    <w:rPr>
                      <w:rFonts w:ascii="宋体" w:eastAsia="宋体" w:cs="Times New Roman"/>
                      <w:bCs/>
                      <w:color w:val="auto"/>
                      <w:sz w:val="21"/>
                      <w:szCs w:val="21"/>
                    </w:rPr>
                    <w:t>加强工业水循环利用。经济和信息化部门指导钢铁、纺织印染、造纸、石油石化、化工、制革等高耗水企业废水深度处理回用；发展改革、能源部门会同经济和信息化、水利等相关部门积极推进矿井水综合利用，推动煤炭矿区的补充用水、周边地方生产用水、生态用水优先使用矿井水，加强洗煤废水循环利用。</w:t>
                  </w:r>
                </w:p>
              </w:tc>
              <w:tc>
                <w:tcPr>
                  <w:tcW w:w="1450"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本项目无生产废水外排，无新增生活污水。</w:t>
                  </w:r>
                  <w:r>
                    <w:rPr>
                      <w:rFonts w:hint="eastAsia" w:ascii="宋体" w:eastAsia="宋体" w:cs="Times New Roman"/>
                      <w:bCs/>
                      <w:color w:val="auto"/>
                      <w:sz w:val="21"/>
                      <w:szCs w:val="21"/>
                    </w:rPr>
                    <w:t>项目生产废水经自建污水处理站处理后循环回用；冷却水循环使用不外排；生活污水经厂内预处理池处理后排入市政污水管网，最终进入犍为县污水处理厂处理后达标排放</w:t>
                  </w:r>
                  <w:r>
                    <w:rPr>
                      <w:rFonts w:ascii="宋体" w:eastAsia="宋体" w:cs="Times New Roman"/>
                      <w:bCs/>
                      <w:color w:val="auto"/>
                      <w:sz w:val="21"/>
                      <w:szCs w:val="21"/>
                    </w:rPr>
                    <w:t>。对地表水环境影响较小。</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w:t>
                  </w:r>
                  <w:r>
                    <w:rPr>
                      <w:rFonts w:ascii="宋体" w:eastAsia="宋体" w:cs="Times New Roman"/>
                      <w:bCs/>
                      <w:color w:val="auto"/>
                      <w:sz w:val="21"/>
                      <w:szCs w:val="21"/>
                    </w:rPr>
                    <w:t>促进重点行业再生水利用。具备使用再生水条件但未充分利用的钢铁、火电、化工、制浆造纸、印染等项目，水利部门在审批水资源论证报告书时，应明确要求优先使用再生水，取水审批时不得批准其新增取水许可。</w:t>
                  </w:r>
                </w:p>
              </w:tc>
              <w:tc>
                <w:tcPr>
                  <w:tcW w:w="23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333" w:type="pct"/>
                  <w:tcBorders>
                    <w:top w:val="single" w:color="auto" w:sz="4" w:space="0"/>
                    <w:left w:val="single" w:color="auto" w:sz="4" w:space="0"/>
                    <w:bottom w:val="single" w:color="auto" w:sz="4" w:space="0"/>
                    <w:right w:val="nil"/>
                  </w:tcBorders>
                  <w:noWrap w:val="0"/>
                  <w:vAlign w:val="center"/>
                </w:tcPr>
                <w:p>
                  <w:pPr>
                    <w:jc w:val="center"/>
                    <w:rPr>
                      <w:rFonts w:ascii="Times New Roman" w:hAnsi="Times New Roman"/>
                      <w:bCs/>
                      <w:color w:val="auto"/>
                      <w:szCs w:val="21"/>
                    </w:rPr>
                  </w:pPr>
                  <w:r>
                    <w:rPr>
                      <w:rFonts w:ascii="宋体" w:hAnsi="宋体"/>
                      <w:bCs/>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w:t>
                  </w:r>
                  <w:r>
                    <w:rPr>
                      <w:rFonts w:ascii="宋体" w:eastAsia="宋体" w:cs="Times New Roman"/>
                      <w:bCs/>
                      <w:color w:val="auto"/>
                      <w:sz w:val="21"/>
                      <w:szCs w:val="21"/>
                    </w:rPr>
                    <w:t>抓好工业节水。严格执行国家鼓励和淘汰的用水技术、工艺、产品和设备目录。开展节水诊断、水平衡测试、用水效率评估，加大节水改造力度；在电力、钢铁、纺织、造纸、石油石化、化工、食品发酵等高耗水行业实施用水定额管理，到</w:t>
                  </w:r>
                  <w:r>
                    <w:rPr>
                      <w:rFonts w:ascii="Times New Roman" w:hAnsi="Times New Roman" w:eastAsia="宋体" w:cs="Times New Roman"/>
                      <w:bCs/>
                      <w:color w:val="auto"/>
                      <w:sz w:val="21"/>
                      <w:szCs w:val="21"/>
                    </w:rPr>
                    <w:t>2020</w:t>
                  </w:r>
                  <w:r>
                    <w:rPr>
                      <w:rFonts w:ascii="宋体" w:eastAsia="宋体" w:cs="Times New Roman"/>
                      <w:bCs/>
                      <w:color w:val="auto"/>
                      <w:sz w:val="21"/>
                      <w:szCs w:val="21"/>
                    </w:rPr>
                    <w:t>年，创建一批具有行业示范和带动作用的节水企业。</w:t>
                  </w:r>
                </w:p>
              </w:tc>
              <w:tc>
                <w:tcPr>
                  <w:tcW w:w="23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333" w:type="pct"/>
                  <w:tcBorders>
                    <w:top w:val="single" w:color="auto" w:sz="4" w:space="0"/>
                    <w:left w:val="single" w:color="auto" w:sz="4" w:space="0"/>
                    <w:bottom w:val="single" w:color="auto" w:sz="4" w:space="0"/>
                    <w:right w:val="nil"/>
                  </w:tcBorders>
                  <w:noWrap w:val="0"/>
                  <w:vAlign w:val="center"/>
                </w:tcPr>
                <w:p>
                  <w:pPr>
                    <w:jc w:val="center"/>
                    <w:rPr>
                      <w:rFonts w:ascii="Times New Roman" w:hAnsi="Times New Roman"/>
                      <w:bCs/>
                      <w:color w:val="auto"/>
                      <w:szCs w:val="21"/>
                    </w:rPr>
                  </w:pPr>
                  <w:r>
                    <w:rPr>
                      <w:rFonts w:ascii="宋体" w:hAnsi="宋体"/>
                      <w:bCs/>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restart"/>
                  <w:tcBorders>
                    <w:top w:val="single" w:color="auto" w:sz="4" w:space="0"/>
                    <w:left w:val="nil"/>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四川省人民政府关于印发四川省打赢蓝天保卫战等九个实施方案的通知（川府发</w:t>
                  </w:r>
                  <w:r>
                    <w:rPr>
                      <w:rFonts w:ascii="Times New Roman" w:hAnsi="Times New Roman" w:eastAsia="宋体" w:cs="Times New Roman"/>
                      <w:bCs/>
                      <w:color w:val="auto"/>
                      <w:sz w:val="21"/>
                      <w:szCs w:val="21"/>
                    </w:rPr>
                    <w:t>[2019]4</w:t>
                  </w:r>
                  <w:r>
                    <w:rPr>
                      <w:rFonts w:ascii="宋体" w:eastAsia="宋体" w:cs="Times New Roman"/>
                      <w:bCs/>
                      <w:color w:val="auto"/>
                      <w:sz w:val="21"/>
                      <w:szCs w:val="21"/>
                    </w:rPr>
                    <w:t>号）四川省打赢碧水保卫战实施方案（</w:t>
                  </w:r>
                  <w:r>
                    <w:rPr>
                      <w:rFonts w:ascii="Times New Roman" w:hAnsi="Times New Roman" w:eastAsia="宋体" w:cs="Times New Roman"/>
                      <w:bCs/>
                      <w:color w:val="auto"/>
                      <w:sz w:val="21"/>
                      <w:szCs w:val="21"/>
                    </w:rPr>
                    <w:t>2019</w:t>
                  </w:r>
                  <w:r>
                    <w:rPr>
                      <w:rFonts w:ascii="宋体" w:eastAsia="宋体" w:cs="Times New Roman"/>
                      <w:bCs/>
                      <w:color w:val="auto"/>
                      <w:sz w:val="21"/>
                      <w:szCs w:val="21"/>
                    </w:rPr>
                    <w:t>）</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重点任务（二）水污染防治：</w:t>
                  </w:r>
                  <w:r>
                    <w:rPr>
                      <w:rFonts w:ascii="Times New Roman" w:hAnsi="Times New Roman" w:eastAsia="宋体" w:cs="Times New Roman"/>
                      <w:bCs/>
                      <w:color w:val="auto"/>
                      <w:sz w:val="21"/>
                      <w:szCs w:val="21"/>
                    </w:rPr>
                    <w:t>“</w:t>
                  </w:r>
                  <w:r>
                    <w:rPr>
                      <w:rFonts w:ascii="宋体" w:eastAsia="宋体" w:cs="Times New Roman"/>
                      <w:bCs/>
                      <w:color w:val="auto"/>
                      <w:sz w:val="21"/>
                      <w:szCs w:val="21"/>
                    </w:rPr>
                    <w:t>实施严重污染河流综合整治行动。围绕环境问题突出的</w:t>
                  </w:r>
                  <w:r>
                    <w:rPr>
                      <w:rFonts w:ascii="Times New Roman" w:hAnsi="Times New Roman" w:eastAsia="宋体" w:cs="Times New Roman"/>
                      <w:bCs/>
                      <w:color w:val="auto"/>
                      <w:sz w:val="21"/>
                      <w:szCs w:val="21"/>
                    </w:rPr>
                    <w:t>29</w:t>
                  </w:r>
                  <w:r>
                    <w:rPr>
                      <w:rFonts w:ascii="宋体" w:eastAsia="宋体" w:cs="Times New Roman"/>
                      <w:bCs/>
                      <w:color w:val="auto"/>
                      <w:sz w:val="21"/>
                      <w:szCs w:val="21"/>
                    </w:rPr>
                    <w:t>个国家优先控制单元，重拳出击岷江、沱江和嘉陵江重点污染流域，打好</w:t>
                  </w:r>
                  <w:r>
                    <w:rPr>
                      <w:rFonts w:ascii="Times New Roman" w:hAnsi="Times New Roman" w:eastAsia="宋体" w:cs="Times New Roman"/>
                      <w:bCs/>
                      <w:color w:val="auto"/>
                      <w:sz w:val="21"/>
                      <w:szCs w:val="21"/>
                    </w:rPr>
                    <w:t>24</w:t>
                  </w:r>
                  <w:r>
                    <w:rPr>
                      <w:rFonts w:ascii="宋体" w:eastAsia="宋体" w:cs="Times New Roman"/>
                      <w:bCs/>
                      <w:color w:val="auto"/>
                      <w:sz w:val="21"/>
                      <w:szCs w:val="21"/>
                    </w:rPr>
                    <w:t>条污染严重小河流域综合整治攻坚战役。开展岷江重点污染流域攻坚。以削减总磷、氨氮和化学需氧量为重点，强化企业排污监管，推行企业</w:t>
                  </w:r>
                  <w:r>
                    <w:rPr>
                      <w:rFonts w:ascii="Times New Roman" w:hAnsi="Times New Roman" w:eastAsia="宋体" w:cs="Times New Roman"/>
                      <w:bCs/>
                      <w:color w:val="auto"/>
                      <w:sz w:val="21"/>
                      <w:szCs w:val="21"/>
                    </w:rPr>
                    <w:t>“</w:t>
                  </w:r>
                  <w:r>
                    <w:rPr>
                      <w:rFonts w:ascii="宋体" w:eastAsia="宋体" w:cs="Times New Roman"/>
                      <w:bCs/>
                      <w:color w:val="auto"/>
                      <w:sz w:val="21"/>
                      <w:szCs w:val="21"/>
                    </w:rPr>
                    <w:t>双达标</w:t>
                  </w:r>
                  <w:r>
                    <w:rPr>
                      <w:rFonts w:ascii="Times New Roman" w:hAnsi="Times New Roman" w:eastAsia="宋体" w:cs="Times New Roman"/>
                      <w:bCs/>
                      <w:color w:val="auto"/>
                      <w:sz w:val="21"/>
                      <w:szCs w:val="21"/>
                    </w:rPr>
                    <w:t>”</w:t>
                  </w:r>
                  <w:r>
                    <w:rPr>
                      <w:rFonts w:ascii="宋体" w:eastAsia="宋体" w:cs="Times New Roman"/>
                      <w:bCs/>
                      <w:color w:val="auto"/>
                      <w:sz w:val="21"/>
                      <w:szCs w:val="21"/>
                    </w:rPr>
                    <w:t>清洁生产行动，完善污水管网配套建设，推行污水处理提标行动，加强畜禽养殖污染防治与综合利用，按照分阶段达到地表水</w:t>
                  </w:r>
                  <w:r>
                    <w:rPr>
                      <w:rFonts w:ascii="Times New Roman" w:hAnsi="Times New Roman" w:eastAsia="宋体" w:cs="Times New Roman"/>
                      <w:bCs/>
                      <w:color w:val="auto"/>
                      <w:sz w:val="21"/>
                      <w:szCs w:val="21"/>
                    </w:rPr>
                    <w:t>Ⅲ</w:t>
                  </w:r>
                  <w:r>
                    <w:rPr>
                      <w:rFonts w:ascii="宋体" w:eastAsia="宋体" w:cs="Times New Roman"/>
                      <w:bCs/>
                      <w:color w:val="auto"/>
                      <w:sz w:val="21"/>
                      <w:szCs w:val="21"/>
                    </w:rPr>
                    <w:t>类水质标准的要求，集中综合整治成都市府河、新津南河、江安河，眉山市毛河、体泉河、思蒙河、越溪河、金牛河，乐山市茫溪河共</w:t>
                  </w:r>
                  <w:r>
                    <w:rPr>
                      <w:rFonts w:ascii="Times New Roman" w:hAnsi="Times New Roman" w:eastAsia="宋体" w:cs="Times New Roman"/>
                      <w:bCs/>
                      <w:color w:val="auto"/>
                      <w:sz w:val="21"/>
                      <w:szCs w:val="21"/>
                    </w:rPr>
                    <w:t>9</w:t>
                  </w:r>
                  <w:r>
                    <w:rPr>
                      <w:rFonts w:ascii="宋体" w:eastAsia="宋体" w:cs="Times New Roman"/>
                      <w:bCs/>
                      <w:color w:val="auto"/>
                      <w:sz w:val="21"/>
                      <w:szCs w:val="21"/>
                    </w:rPr>
                    <w:t>条重点流域污染，力争</w:t>
                  </w:r>
                  <w:r>
                    <w:rPr>
                      <w:rFonts w:ascii="Times New Roman" w:hAnsi="Times New Roman" w:eastAsia="宋体" w:cs="Times New Roman"/>
                      <w:bCs/>
                      <w:color w:val="auto"/>
                      <w:sz w:val="21"/>
                      <w:szCs w:val="21"/>
                    </w:rPr>
                    <w:t>“</w:t>
                  </w:r>
                  <w:r>
                    <w:rPr>
                      <w:rFonts w:ascii="宋体" w:eastAsia="宋体" w:cs="Times New Roman"/>
                      <w:bCs/>
                      <w:color w:val="auto"/>
                      <w:sz w:val="21"/>
                      <w:szCs w:val="21"/>
                    </w:rPr>
                    <w:t>十三五</w:t>
                  </w:r>
                  <w:r>
                    <w:rPr>
                      <w:rFonts w:ascii="Times New Roman" w:hAnsi="Times New Roman" w:eastAsia="宋体" w:cs="Times New Roman"/>
                      <w:bCs/>
                      <w:color w:val="auto"/>
                      <w:sz w:val="21"/>
                      <w:szCs w:val="21"/>
                    </w:rPr>
                    <w:t>”</w:t>
                  </w:r>
                  <w:r>
                    <w:rPr>
                      <w:rFonts w:ascii="宋体" w:eastAsia="宋体" w:cs="Times New Roman"/>
                      <w:bCs/>
                      <w:color w:val="auto"/>
                      <w:sz w:val="21"/>
                      <w:szCs w:val="21"/>
                    </w:rPr>
                    <w:t>末期岷江流域优良水质率达到</w:t>
                  </w:r>
                  <w:r>
                    <w:rPr>
                      <w:rFonts w:ascii="Times New Roman" w:hAnsi="Times New Roman" w:eastAsia="宋体" w:cs="Times New Roman"/>
                      <w:bCs/>
                      <w:color w:val="auto"/>
                      <w:sz w:val="21"/>
                      <w:szCs w:val="21"/>
                    </w:rPr>
                    <w:t>70%</w:t>
                  </w:r>
                  <w:r>
                    <w:rPr>
                      <w:rFonts w:ascii="宋体" w:eastAsia="宋体" w:cs="Times New Roman"/>
                      <w:bCs/>
                      <w:color w:val="auto"/>
                      <w:sz w:val="21"/>
                      <w:szCs w:val="21"/>
                    </w:rPr>
                    <w:t>以</w:t>
                  </w:r>
                  <w:r>
                    <w:rPr>
                      <w:rFonts w:ascii="Times New Roman" w:hAnsi="Times New Roman" w:eastAsia="宋体" w:cs="Times New Roman"/>
                      <w:bCs/>
                      <w:color w:val="auto"/>
                      <w:sz w:val="21"/>
                      <w:szCs w:val="21"/>
                    </w:rPr>
                    <w:t>.....”</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本项目无生产废水外排，无新增生活污水。</w:t>
                  </w:r>
                  <w:r>
                    <w:rPr>
                      <w:rFonts w:hint="eastAsia" w:ascii="宋体" w:eastAsia="宋体" w:cs="Times New Roman"/>
                      <w:bCs/>
                      <w:color w:val="auto"/>
                      <w:sz w:val="21"/>
                      <w:szCs w:val="21"/>
                    </w:rPr>
                    <w:t>项目生产废水经自建污水处理站处理后循环回用；冷却水循环使用不外排；生活污水经厂内预处理池处理后排入市政污水管网，最终进入犍为县污水处理厂处理后达标排放</w:t>
                  </w:r>
                  <w:r>
                    <w:rPr>
                      <w:rFonts w:ascii="宋体" w:eastAsia="宋体" w:cs="Times New Roman"/>
                      <w:bCs/>
                      <w:color w:val="auto"/>
                      <w:sz w:val="21"/>
                      <w:szCs w:val="21"/>
                    </w:rPr>
                    <w:t>。对地表水环境影响较小。</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bCs/>
                      <w:color w:val="auto"/>
                      <w:spacing w:val="-2"/>
                      <w:kern w:val="0"/>
                      <w:szCs w:val="21"/>
                    </w:rPr>
                  </w:pPr>
                </w:p>
              </w:tc>
              <w:tc>
                <w:tcPr>
                  <w:tcW w:w="2345"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三、重点任务（三）实施工业污染治理工程，实施园区工业废水达标整治。（</w:t>
                  </w:r>
                  <w:r>
                    <w:rPr>
                      <w:rFonts w:ascii="Times New Roman" w:hAnsi="Times New Roman" w:eastAsia="宋体" w:cs="Times New Roman"/>
                      <w:bCs/>
                      <w:color w:val="auto"/>
                      <w:sz w:val="21"/>
                      <w:szCs w:val="21"/>
                    </w:rPr>
                    <w:t>1</w:t>
                  </w:r>
                  <w:r>
                    <w:rPr>
                      <w:rFonts w:ascii="宋体" w:eastAsia="宋体" w:cs="Times New Roman"/>
                      <w:bCs/>
                      <w:color w:val="auto"/>
                      <w:sz w:val="21"/>
                      <w:szCs w:val="21"/>
                    </w:rPr>
                    <w:t>）落实《四川省工业园区（工业集聚区）工业废水处理设施建设三年行动计划》，倒排工期，落实责任，按照属地管理、辖区负责的原则，省直相关部门按照管理权限督促指导各地加快推进工业园区（工业集聚区）污水处理设施建设，确保污水处理设施按期建成投入使用和正常运行。在处理设施建成前，依托生活污水处理厂、一体化应急设备全面处理工业废水，确保达标排放；处理设施建成后，加强运行维护，确保设施稳定运行。（</w:t>
                  </w:r>
                  <w:r>
                    <w:rPr>
                      <w:rFonts w:ascii="Times New Roman" w:hAnsi="Times New Roman" w:eastAsia="宋体" w:cs="Times New Roman"/>
                      <w:bCs/>
                      <w:color w:val="auto"/>
                      <w:sz w:val="21"/>
                      <w:szCs w:val="21"/>
                    </w:rPr>
                    <w:t>2</w:t>
                  </w:r>
                  <w:r>
                    <w:rPr>
                      <w:rFonts w:ascii="宋体" w:eastAsia="宋体" w:cs="Times New Roman"/>
                      <w:bCs/>
                      <w:color w:val="auto"/>
                      <w:sz w:val="21"/>
                      <w:szCs w:val="21"/>
                    </w:rPr>
                    <w:t>）减少工业废水排放量。减少重点行业工业企业废水排放量。岷江、沱江流域的制浆造纸、白酒、啤酒、制革等重点行业企业要尽快进行清洁生产改造，确保单位产品基准排水量达到《四川省岷江、沱江流域水污染物排放标准》。指导钢铁、印染、造纸、石油石化、化工、制革等高耗水企业废水深度处理回收利用。对具备使用再生水条件但未充分利用的企业，暂停其新增取水许可审批。（</w:t>
                  </w:r>
                  <w:r>
                    <w:rPr>
                      <w:rFonts w:ascii="Times New Roman" w:hAnsi="Times New Roman" w:eastAsia="宋体" w:cs="Times New Roman"/>
                      <w:bCs/>
                      <w:color w:val="auto"/>
                      <w:sz w:val="21"/>
                      <w:szCs w:val="21"/>
                    </w:rPr>
                    <w:t>3</w:t>
                  </w:r>
                  <w:r>
                    <w:rPr>
                      <w:rFonts w:ascii="宋体" w:eastAsia="宋体" w:cs="Times New Roman"/>
                      <w:bCs/>
                      <w:color w:val="auto"/>
                      <w:sz w:val="21"/>
                      <w:szCs w:val="21"/>
                    </w:rPr>
                    <w:t>）推进重点行业企业提标改造。严格执行《四川省岷江、沱江流域水污染物排放标准》，按时完成岷江、沱江流域重点行业的工业企业污水处理设施提标改造。（</w:t>
                  </w:r>
                  <w:r>
                    <w:rPr>
                      <w:rFonts w:ascii="Times New Roman" w:hAnsi="Times New Roman" w:eastAsia="宋体" w:cs="Times New Roman"/>
                      <w:bCs/>
                      <w:color w:val="auto"/>
                      <w:sz w:val="21"/>
                      <w:szCs w:val="21"/>
                    </w:rPr>
                    <w:t>4</w:t>
                  </w:r>
                  <w:r>
                    <w:rPr>
                      <w:rFonts w:ascii="宋体" w:eastAsia="宋体" w:cs="Times New Roman"/>
                      <w:bCs/>
                      <w:color w:val="auto"/>
                      <w:sz w:val="21"/>
                      <w:szCs w:val="21"/>
                    </w:rPr>
                    <w:t>）推动产业布局结构调整。落实主体功能区战略，强化</w:t>
                  </w:r>
                  <w:r>
                    <w:rPr>
                      <w:rFonts w:ascii="Times New Roman" w:hAnsi="Times New Roman" w:eastAsia="宋体" w:cs="Times New Roman"/>
                      <w:bCs/>
                      <w:color w:val="auto"/>
                      <w:sz w:val="21"/>
                      <w:szCs w:val="21"/>
                    </w:rPr>
                    <w:t>“</w:t>
                  </w:r>
                  <w:r>
                    <w:rPr>
                      <w:rFonts w:ascii="宋体" w:eastAsia="宋体" w:cs="Times New Roman"/>
                      <w:bCs/>
                      <w:color w:val="auto"/>
                      <w:sz w:val="21"/>
                      <w:szCs w:val="21"/>
                    </w:rPr>
                    <w:t>三线一单</w:t>
                  </w:r>
                  <w:r>
                    <w:rPr>
                      <w:rFonts w:ascii="Times New Roman" w:hAnsi="Times New Roman" w:eastAsia="宋体" w:cs="Times New Roman"/>
                      <w:bCs/>
                      <w:color w:val="auto"/>
                      <w:sz w:val="21"/>
                      <w:szCs w:val="21"/>
                    </w:rPr>
                    <w:t>”</w:t>
                  </w:r>
                  <w:r>
                    <w:rPr>
                      <w:rFonts w:ascii="宋体" w:eastAsia="宋体" w:cs="Times New Roman"/>
                      <w:bCs/>
                      <w:color w:val="auto"/>
                      <w:sz w:val="21"/>
                      <w:szCs w:val="21"/>
                    </w:rPr>
                    <w:t>约束，积极推行区域、规划环境影响评价，优化产业布局和资源配置，有效控制区域发展规模和开发强度，着力解决沱江流域、岷江中游地区工业企业沿江不合理布局问题。提高环保准入门槛，充分考虑水资源、水环境承载力，以水定业、以水定产，严控高耗水、高污染项目建设，鼓励和支持低耗水、低污染高新技术产业发展，着力推动老工业城市产业升级。强化环保、能耗等标准约束，倒逼淘汰落后产能并防止转移。</w:t>
                  </w:r>
                  <w:r>
                    <w:rPr>
                      <w:rFonts w:ascii="Times New Roman" w:hAnsi="Times New Roman" w:eastAsia="宋体" w:cs="Times New Roman"/>
                      <w:bCs/>
                      <w:color w:val="auto"/>
                      <w:sz w:val="21"/>
                      <w:szCs w:val="21"/>
                    </w:rPr>
                    <w:t>”</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本项目无生产废水外排，无新增生活污水。</w:t>
                  </w:r>
                  <w:r>
                    <w:rPr>
                      <w:rFonts w:hint="eastAsia" w:ascii="宋体" w:eastAsia="宋体" w:cs="Times New Roman"/>
                      <w:bCs/>
                      <w:color w:val="auto"/>
                      <w:sz w:val="21"/>
                      <w:szCs w:val="21"/>
                    </w:rPr>
                    <w:t>项目生产废水经自建污水处理站处理后循环回用；冷却水循环使用不外排；生活污水经厂内预处理池处理后排入市政污水管网，最终进入犍为县污水处理厂处理后达标排放</w:t>
                  </w:r>
                  <w:r>
                    <w:rPr>
                      <w:rFonts w:ascii="宋体" w:eastAsia="宋体" w:cs="Times New Roman"/>
                      <w:bCs/>
                      <w:color w:val="auto"/>
                      <w:sz w:val="21"/>
                      <w:szCs w:val="21"/>
                    </w:rPr>
                    <w:t>。对地表水环境影响较小。</w:t>
                  </w:r>
                </w:p>
              </w:tc>
              <w:tc>
                <w:tcPr>
                  <w:tcW w:w="333" w:type="pct"/>
                  <w:tcBorders>
                    <w:top w:val="single" w:color="auto" w:sz="4" w:space="0"/>
                    <w:left w:val="single" w:color="auto" w:sz="4" w:space="0"/>
                    <w:bottom w:val="single" w:color="auto" w:sz="4"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tcBorders>
                    <w:top w:val="single" w:color="auto" w:sz="4" w:space="0"/>
                    <w:left w:val="nil"/>
                    <w:bottom w:val="single" w:color="auto" w:sz="12"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《乐山市人民政府关于印发乐山市打赢蓝天保卫战等九个实施方案的通知》</w:t>
                  </w:r>
                </w:p>
              </w:tc>
              <w:tc>
                <w:tcPr>
                  <w:tcW w:w="2345" w:type="pct"/>
                  <w:tcBorders>
                    <w:top w:val="single" w:color="auto" w:sz="4" w:space="0"/>
                    <w:left w:val="single" w:color="auto" w:sz="4" w:space="0"/>
                    <w:bottom w:val="single" w:color="auto" w:sz="12"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减少工业废水排放量。减少重点行业工业企业废水排放量。制浆造纸、发酵酒精和白酒、啤酒、制革及毛皮加工、无机磷化工、有机磷农药等重点行业企业要尽快实施清洁生产改造，确保单位产品基准排水量达到《四川省岷江、沱江流域水污染物排放标准》。加大钢铁、印染、造纸、化工、制革等高耗水企业废水深度处理回收利用，对具备使用再生水条件但未充分利用的企业，暂停其新增取水许可审批。</w:t>
                  </w:r>
                </w:p>
              </w:tc>
              <w:tc>
                <w:tcPr>
                  <w:tcW w:w="1450" w:type="pct"/>
                  <w:tcBorders>
                    <w:top w:val="single" w:color="auto" w:sz="4" w:space="0"/>
                    <w:left w:val="single" w:color="auto" w:sz="4" w:space="0"/>
                    <w:bottom w:val="single" w:color="auto" w:sz="12" w:space="0"/>
                    <w:right w:val="single" w:color="auto" w:sz="4" w:space="0"/>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本项目无生产废水外排，无新增生活污水。</w:t>
                  </w:r>
                  <w:r>
                    <w:rPr>
                      <w:rFonts w:hint="eastAsia" w:ascii="宋体" w:eastAsia="宋体" w:cs="Times New Roman"/>
                      <w:bCs/>
                      <w:color w:val="auto"/>
                      <w:sz w:val="21"/>
                      <w:szCs w:val="21"/>
                    </w:rPr>
                    <w:t>项目生产废水经自建污水处理站处理后循环回用；冷却水循环使用不外排；生活污水经厂内预处理池处理后排入市政污水管网，最终进入犍为县污水处理厂处理后达标排放</w:t>
                  </w:r>
                  <w:r>
                    <w:rPr>
                      <w:rFonts w:ascii="宋体" w:eastAsia="宋体" w:cs="Times New Roman"/>
                      <w:bCs/>
                      <w:color w:val="auto"/>
                      <w:sz w:val="21"/>
                      <w:szCs w:val="21"/>
                    </w:rPr>
                    <w:t>。对地表水环境影响较小。</w:t>
                  </w:r>
                </w:p>
              </w:tc>
              <w:tc>
                <w:tcPr>
                  <w:tcW w:w="333" w:type="pct"/>
                  <w:tcBorders>
                    <w:top w:val="single" w:color="auto" w:sz="4" w:space="0"/>
                    <w:left w:val="single" w:color="auto" w:sz="4" w:space="0"/>
                    <w:bottom w:val="single" w:color="auto" w:sz="12" w:space="0"/>
                    <w:right w:val="nil"/>
                  </w:tcBorders>
                  <w:noWrap w:val="0"/>
                  <w:vAlign w:val="center"/>
                </w:tcPr>
                <w:p>
                  <w:pPr>
                    <w:pStyle w:val="2"/>
                    <w:spacing w:before="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rPr>
            </w:pPr>
            <w:r>
              <w:rPr>
                <w:rFonts w:ascii="宋体" w:hAnsi="宋体"/>
                <w:bCs/>
                <w:color w:val="auto"/>
                <w:sz w:val="24"/>
                <w:szCs w:val="24"/>
              </w:rPr>
              <w:t>综上分析，项目与《重点流域水污染防治规划》（</w:t>
            </w:r>
            <w:r>
              <w:rPr>
                <w:rFonts w:ascii="Times New Roman" w:hAnsi="Times New Roman"/>
                <w:bCs/>
                <w:color w:val="auto"/>
                <w:sz w:val="24"/>
                <w:szCs w:val="24"/>
              </w:rPr>
              <w:t>2016-2020</w:t>
            </w:r>
            <w:r>
              <w:rPr>
                <w:rFonts w:ascii="宋体" w:hAnsi="宋体"/>
                <w:bCs/>
                <w:color w:val="auto"/>
                <w:sz w:val="24"/>
                <w:szCs w:val="24"/>
              </w:rPr>
              <w:t>年）、《关于加强长江黄金水道环境污染防控治理的指导意见》（发改环资</w:t>
            </w:r>
            <w:r>
              <w:rPr>
                <w:rFonts w:ascii="Times New Roman" w:hAnsi="Times New Roman"/>
                <w:bCs/>
                <w:color w:val="auto"/>
                <w:sz w:val="24"/>
                <w:szCs w:val="24"/>
              </w:rPr>
              <w:t>[2016]370</w:t>
            </w:r>
            <w:r>
              <w:rPr>
                <w:rFonts w:ascii="宋体" w:hAnsi="宋体"/>
                <w:bCs/>
                <w:color w:val="auto"/>
                <w:sz w:val="24"/>
                <w:szCs w:val="24"/>
              </w:rPr>
              <w:t>号）、《四川省人民政府关于印发水污染防治行动计划四川省工作方案的通知》（川府发</w:t>
            </w:r>
            <w:r>
              <w:rPr>
                <w:rFonts w:ascii="Times New Roman" w:hAnsi="Times New Roman"/>
                <w:bCs/>
                <w:color w:val="auto"/>
                <w:sz w:val="24"/>
                <w:szCs w:val="24"/>
              </w:rPr>
              <w:t>[2015]59</w:t>
            </w:r>
            <w:r>
              <w:rPr>
                <w:rFonts w:ascii="宋体" w:hAnsi="宋体"/>
                <w:bCs/>
                <w:color w:val="auto"/>
                <w:sz w:val="24"/>
                <w:szCs w:val="24"/>
              </w:rPr>
              <w:t>号）、《四川省人民政府关于印发四川省打赢蓝天保卫战等九个实施方案的通知》（川府发</w:t>
            </w:r>
            <w:r>
              <w:rPr>
                <w:rFonts w:ascii="Times New Roman" w:hAnsi="Times New Roman"/>
                <w:bCs/>
                <w:color w:val="auto"/>
                <w:sz w:val="24"/>
                <w:szCs w:val="24"/>
              </w:rPr>
              <w:t>[2019]4</w:t>
            </w:r>
            <w:r>
              <w:rPr>
                <w:rFonts w:ascii="宋体" w:hAnsi="宋体"/>
                <w:bCs/>
                <w:color w:val="auto"/>
                <w:sz w:val="24"/>
                <w:szCs w:val="24"/>
              </w:rPr>
              <w:t>号）（四川省打赢碧水保卫战实施方案</w:t>
            </w:r>
            <w:r>
              <w:rPr>
                <w:rFonts w:ascii="Times New Roman" w:hAnsi="Times New Roman"/>
                <w:bCs/>
                <w:color w:val="auto"/>
                <w:sz w:val="24"/>
                <w:szCs w:val="24"/>
              </w:rPr>
              <w:t>2019</w:t>
            </w:r>
            <w:r>
              <w:rPr>
                <w:rFonts w:ascii="宋体" w:hAnsi="宋体"/>
                <w:bCs/>
                <w:color w:val="auto"/>
                <w:sz w:val="24"/>
                <w:szCs w:val="24"/>
              </w:rPr>
              <w:t>）和《乐山市人民政府关于印发乐山市打赢蓝天保卫战等九个实施方案的通知》相关要求相符。</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宋体" w:hAnsi="宋体" w:eastAsia="宋体" w:cs="Times New Roman"/>
                <w:b/>
                <w:bCs/>
                <w:color w:val="auto"/>
                <w:sz w:val="24"/>
                <w:szCs w:val="24"/>
                <w:lang w:eastAsia="zh-CN"/>
              </w:rPr>
            </w:pPr>
            <w:r>
              <w:rPr>
                <w:rFonts w:hint="eastAsia" w:ascii="宋体" w:hAnsi="宋体" w:eastAsia="宋体" w:cs="Times New Roman"/>
                <w:b/>
                <w:bCs/>
                <w:color w:val="auto"/>
                <w:sz w:val="24"/>
                <w:szCs w:val="24"/>
                <w:lang w:val="en-US" w:eastAsia="zh-CN"/>
              </w:rPr>
              <w:t>与</w:t>
            </w:r>
            <w:r>
              <w:rPr>
                <w:rFonts w:hint="eastAsia" w:ascii="宋体" w:hAnsi="宋体" w:eastAsia="宋体" w:cs="Times New Roman"/>
                <w:b/>
                <w:bCs/>
                <w:color w:val="auto"/>
                <w:sz w:val="24"/>
                <w:szCs w:val="24"/>
                <w:lang w:eastAsia="zh-CN"/>
              </w:rPr>
              <w:t>饮用水源保护区相容性分析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根据《四川省人民政府办公厅关于城镇集中式饮用水源地保护区划定方案的通知》（川办函[2010]26号），对本项目所在地与饮用水源保护区相容性进行分析。</w:t>
            </w:r>
          </w:p>
          <w:p>
            <w:pPr>
              <w:pStyle w:val="6"/>
              <w:spacing w:line="240" w:lineRule="auto"/>
              <w:ind w:firstLine="0"/>
              <w:jc w:val="center"/>
              <w:rPr>
                <w:rFonts w:hint="eastAsia" w:ascii="Times New Roman" w:hAnsi="Times New Roman"/>
                <w:b/>
                <w:bCs/>
                <w:color w:val="auto"/>
                <w:sz w:val="21"/>
                <w:szCs w:val="21"/>
              </w:rPr>
            </w:pPr>
            <w:r>
              <w:rPr>
                <w:rFonts w:ascii="宋体" w:hAnsi="宋体"/>
                <w:b/>
                <w:bCs/>
                <w:color w:val="auto"/>
                <w:sz w:val="21"/>
                <w:szCs w:val="21"/>
              </w:rPr>
              <w:t>表</w:t>
            </w:r>
            <w:r>
              <w:rPr>
                <w:rFonts w:ascii="Times New Roman" w:hAnsi="Times New Roman"/>
                <w:b/>
                <w:bCs/>
                <w:color w:val="auto"/>
                <w:sz w:val="21"/>
                <w:szCs w:val="21"/>
              </w:rPr>
              <w:t>1-</w:t>
            </w:r>
            <w:r>
              <w:rPr>
                <w:rFonts w:hint="eastAsia" w:ascii="Times New Roman" w:hAnsi="Times New Roman"/>
                <w:b/>
                <w:bCs/>
                <w:color w:val="auto"/>
                <w:sz w:val="21"/>
                <w:szCs w:val="21"/>
                <w:lang w:val="en-US" w:eastAsia="zh-CN"/>
              </w:rPr>
              <w:t>8</w:t>
            </w:r>
            <w:r>
              <w:rPr>
                <w:rFonts w:ascii="Times New Roman" w:hAnsi="Times New Roman"/>
                <w:b/>
                <w:bCs/>
                <w:color w:val="auto"/>
                <w:sz w:val="21"/>
                <w:szCs w:val="21"/>
              </w:rPr>
              <w:t xml:space="preserve">  </w:t>
            </w:r>
            <w:r>
              <w:rPr>
                <w:rFonts w:ascii="宋体" w:hAnsi="宋体"/>
                <w:b/>
                <w:bCs/>
                <w:color w:val="auto"/>
                <w:sz w:val="21"/>
                <w:szCs w:val="21"/>
              </w:rPr>
              <w:t>犍为县</w:t>
            </w:r>
            <w:r>
              <w:rPr>
                <w:rFonts w:hint="eastAsia" w:ascii="宋体" w:hAnsi="宋体"/>
                <w:b/>
                <w:bCs/>
                <w:color w:val="auto"/>
                <w:sz w:val="21"/>
                <w:szCs w:val="21"/>
              </w:rPr>
              <w:t>岷江杨寺庙水源地</w:t>
            </w:r>
            <w:r>
              <w:rPr>
                <w:rFonts w:ascii="宋体" w:hAnsi="宋体"/>
                <w:b/>
                <w:bCs/>
                <w:color w:val="auto"/>
                <w:sz w:val="21"/>
                <w:szCs w:val="21"/>
              </w:rPr>
              <w:t>保护区划定情况表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6"/>
              <w:gridCol w:w="853"/>
              <w:gridCol w:w="761"/>
              <w:gridCol w:w="708"/>
              <w:gridCol w:w="2794"/>
              <w:gridCol w:w="25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21" w:type="pct"/>
                  <w:tcBorders>
                    <w:top w:val="single" w:color="auto" w:sz="12" w:space="0"/>
                    <w:left w:val="nil"/>
                    <w:bottom w:val="single" w:color="auto" w:sz="4" w:space="0"/>
                    <w:right w:val="single" w:color="auto" w:sz="4" w:space="0"/>
                  </w:tcBorders>
                  <w:shd w:val="clear" w:color="auto" w:fill="DCE6F2" w:themeFill="accent1" w:themeFillTint="32"/>
                  <w:noWrap w:val="0"/>
                  <w:vAlign w:val="center"/>
                </w:tcPr>
                <w:p>
                  <w:pPr>
                    <w:pStyle w:val="6"/>
                    <w:spacing w:line="24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520" w:type="pct"/>
                  <w:tcBorders>
                    <w:top w:val="single" w:color="auto" w:sz="12" w:space="0"/>
                    <w:left w:val="single" w:color="auto" w:sz="4" w:space="0"/>
                    <w:bottom w:val="single" w:color="auto" w:sz="4" w:space="0"/>
                    <w:right w:val="single" w:color="auto" w:sz="4" w:space="0"/>
                  </w:tcBorders>
                  <w:shd w:val="clear" w:color="auto" w:fill="DCE6F2" w:themeFill="accent1" w:themeFillTint="32"/>
                  <w:noWrap w:val="0"/>
                  <w:vAlign w:val="center"/>
                </w:tcPr>
                <w:p>
                  <w:pPr>
                    <w:pStyle w:val="6"/>
                    <w:spacing w:line="24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水源地所在地</w:t>
                  </w:r>
                </w:p>
              </w:tc>
              <w:tc>
                <w:tcPr>
                  <w:tcW w:w="464" w:type="pct"/>
                  <w:tcBorders>
                    <w:top w:val="single" w:color="auto" w:sz="12" w:space="0"/>
                    <w:left w:val="single" w:color="auto" w:sz="4" w:space="0"/>
                    <w:bottom w:val="single" w:color="auto" w:sz="4" w:space="0"/>
                    <w:right w:val="single" w:color="auto" w:sz="4" w:space="0"/>
                  </w:tcBorders>
                  <w:shd w:val="clear" w:color="auto" w:fill="DCE6F2" w:themeFill="accent1" w:themeFillTint="32"/>
                  <w:noWrap w:val="0"/>
                  <w:vAlign w:val="center"/>
                </w:tcPr>
                <w:p>
                  <w:pPr>
                    <w:pStyle w:val="6"/>
                    <w:spacing w:line="24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取水口坐标</w:t>
                  </w:r>
                </w:p>
              </w:tc>
              <w:tc>
                <w:tcPr>
                  <w:tcW w:w="2136" w:type="pct"/>
                  <w:gridSpan w:val="2"/>
                  <w:tcBorders>
                    <w:top w:val="single" w:color="auto" w:sz="12" w:space="0"/>
                    <w:left w:val="single" w:color="auto" w:sz="4" w:space="0"/>
                    <w:bottom w:val="single" w:color="auto" w:sz="4" w:space="0"/>
                    <w:right w:val="single" w:color="auto" w:sz="4" w:space="0"/>
                  </w:tcBorders>
                  <w:shd w:val="clear" w:color="auto" w:fill="DCE6F2" w:themeFill="accent1" w:themeFillTint="32"/>
                  <w:noWrap w:val="0"/>
                  <w:vAlign w:val="center"/>
                </w:tcPr>
                <w:p>
                  <w:pPr>
                    <w:pStyle w:val="6"/>
                    <w:spacing w:line="24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保护区界</w:t>
                  </w:r>
                </w:p>
              </w:tc>
              <w:tc>
                <w:tcPr>
                  <w:tcW w:w="1559" w:type="pct"/>
                  <w:tcBorders>
                    <w:top w:val="single" w:color="auto" w:sz="12" w:space="0"/>
                    <w:left w:val="single" w:color="auto" w:sz="4" w:space="0"/>
                    <w:bottom w:val="single" w:color="auto" w:sz="4" w:space="0"/>
                    <w:right w:val="nil"/>
                  </w:tcBorders>
                  <w:shd w:val="clear" w:color="auto" w:fill="DCE6F2" w:themeFill="accent1" w:themeFillTint="32"/>
                  <w:noWrap w:val="0"/>
                  <w:vAlign w:val="center"/>
                </w:tcPr>
                <w:p>
                  <w:pPr>
                    <w:pStyle w:val="6"/>
                    <w:spacing w:line="24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restart"/>
                  <w:tcBorders>
                    <w:top w:val="single" w:color="auto" w:sz="4" w:space="0"/>
                    <w:left w:val="nil"/>
                    <w:bottom w:val="single" w:color="auto" w:sz="4" w:space="0"/>
                    <w:right w:val="single" w:color="auto" w:sz="4" w:space="0"/>
                  </w:tcBorders>
                  <w:noWrap w:val="0"/>
                  <w:vAlign w:val="center"/>
                </w:tcPr>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犍为县岷江杨寺庙水源地保护区</w:t>
                  </w:r>
                </w:p>
              </w:tc>
              <w:tc>
                <w:tcPr>
                  <w:tcW w:w="520" w:type="pct"/>
                  <w:vMerge w:val="restart"/>
                  <w:tcBorders>
                    <w:top w:val="single" w:color="auto" w:sz="4" w:space="0"/>
                    <w:left w:val="single" w:color="auto" w:sz="4" w:space="0"/>
                    <w:bottom w:val="single" w:color="auto" w:sz="4" w:space="0"/>
                    <w:right w:val="single" w:color="auto" w:sz="4" w:space="0"/>
                  </w:tcBorders>
                  <w:noWrap w:val="0"/>
                  <w:vAlign w:val="center"/>
                </w:tcPr>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玉津镇</w:t>
                  </w:r>
                </w:p>
              </w:tc>
              <w:tc>
                <w:tcPr>
                  <w:tcW w:w="464" w:type="pct"/>
                  <w:vMerge w:val="restart"/>
                  <w:tcBorders>
                    <w:top w:val="single" w:color="auto" w:sz="4" w:space="0"/>
                    <w:left w:val="single" w:color="auto" w:sz="4" w:space="0"/>
                    <w:bottom w:val="single" w:color="auto" w:sz="4" w:space="0"/>
                    <w:right w:val="single" w:color="auto" w:sz="4" w:space="0"/>
                  </w:tcBorders>
                  <w:noWrap w:val="0"/>
                  <w:vAlign w:val="center"/>
                </w:tcPr>
                <w:p>
                  <w:pPr>
                    <w:pStyle w:val="6"/>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经度：103.93</w:t>
                  </w:r>
                </w:p>
                <w:p>
                  <w:pPr>
                    <w:pStyle w:val="6"/>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纬度：29.2265</w:t>
                  </w:r>
                </w:p>
              </w:tc>
              <w:tc>
                <w:tcPr>
                  <w:tcW w:w="432" w:type="pct"/>
                  <w:tcBorders>
                    <w:top w:val="single" w:color="auto" w:sz="4" w:space="0"/>
                    <w:left w:val="single" w:color="auto" w:sz="4" w:space="0"/>
                    <w:bottom w:val="single" w:color="auto" w:sz="4" w:space="0"/>
                    <w:right w:val="single" w:color="auto" w:sz="4" w:space="0"/>
                  </w:tcBorders>
                  <w:noWrap w:val="0"/>
                  <w:vAlign w:val="center"/>
                </w:tcPr>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一级保护区</w:t>
                  </w:r>
                </w:p>
              </w:tc>
              <w:tc>
                <w:tcPr>
                  <w:tcW w:w="1704" w:type="pct"/>
                  <w:tcBorders>
                    <w:top w:val="single" w:color="auto" w:sz="4" w:space="0"/>
                    <w:left w:val="single" w:color="auto" w:sz="4" w:space="0"/>
                    <w:bottom w:val="single" w:color="auto" w:sz="4" w:space="0"/>
                    <w:right w:val="single" w:color="auto" w:sz="4" w:space="0"/>
                  </w:tcBorders>
                  <w:noWrap w:val="0"/>
                  <w:vAlign w:val="center"/>
                </w:tcPr>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一级水域保护区：取水口下游100米至上游1000米犍为县工艺美术瓷厂大门江段的水域。</w:t>
                  </w:r>
                </w:p>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陆域保护区：取水口下游100米至上游1000米犍为县工艺美术瓷厂大门江段两岸纵深200米的陆域。</w:t>
                  </w:r>
                </w:p>
              </w:tc>
              <w:tc>
                <w:tcPr>
                  <w:tcW w:w="1559" w:type="pct"/>
                  <w:tcBorders>
                    <w:top w:val="single" w:color="auto" w:sz="4" w:space="0"/>
                    <w:left w:val="single" w:color="auto" w:sz="4" w:space="0"/>
                    <w:bottom w:val="single" w:color="auto" w:sz="4" w:space="0"/>
                    <w:right w:val="nil"/>
                  </w:tcBorders>
                  <w:noWrap w:val="0"/>
                  <w:vAlign w:val="center"/>
                </w:tcPr>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1、禁止在饮用水水源一级保护区内新建、改建、扩建与供水设施和保护水源无关的建设项目；已建成的与供水设施和保护水源无关的建设项目，由县级以上人民政府责令拆除或者关闭。</w:t>
                  </w:r>
                </w:p>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2、禁止在饮用水水源一级保护区内从事网箱养殖、旅游、游泳、垂钓或者其他可能污染饮用水水体的活动。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4" w:type="dxa"/>
                  <w:vMerge w:val="continue"/>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kern w:val="0"/>
                      <w:szCs w:val="21"/>
                    </w:rPr>
                  </w:pPr>
                </w:p>
              </w:tc>
              <w:tc>
                <w:tcPr>
                  <w:tcW w:w="85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kern w:val="0"/>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kern w:val="0"/>
                      <w:szCs w:val="21"/>
                    </w:rPr>
                  </w:pPr>
                </w:p>
              </w:tc>
              <w:tc>
                <w:tcPr>
                  <w:tcW w:w="432" w:type="pct"/>
                  <w:tcBorders>
                    <w:top w:val="single" w:color="auto" w:sz="4" w:space="0"/>
                    <w:left w:val="single" w:color="auto" w:sz="4" w:space="0"/>
                    <w:bottom w:val="single" w:color="auto" w:sz="4" w:space="0"/>
                    <w:right w:val="single" w:color="auto" w:sz="4" w:space="0"/>
                  </w:tcBorders>
                  <w:noWrap w:val="0"/>
                  <w:vAlign w:val="center"/>
                </w:tcPr>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二级保护区</w:t>
                  </w:r>
                </w:p>
              </w:tc>
              <w:tc>
                <w:tcPr>
                  <w:tcW w:w="1704" w:type="pct"/>
                  <w:tcBorders>
                    <w:top w:val="single" w:color="auto" w:sz="4" w:space="0"/>
                    <w:left w:val="single" w:color="auto" w:sz="4" w:space="0"/>
                    <w:bottom w:val="single" w:color="auto" w:sz="4" w:space="0"/>
                    <w:right w:val="single" w:color="auto" w:sz="4" w:space="0"/>
                  </w:tcBorders>
                  <w:noWrap w:val="0"/>
                  <w:vAlign w:val="center"/>
                </w:tcPr>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二级水域保护区：从犍为县工艺美术瓷厂大门至犍为县火电厂江段的水域。</w:t>
                  </w:r>
                </w:p>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二级陆域保护区：从犍为县工艺美术瓷厂大门至犍为县火电厂江段纵深200米的陆域。</w:t>
                  </w:r>
                </w:p>
              </w:tc>
              <w:tc>
                <w:tcPr>
                  <w:tcW w:w="1559" w:type="pct"/>
                  <w:tcBorders>
                    <w:top w:val="single" w:color="auto" w:sz="4" w:space="0"/>
                    <w:left w:val="single" w:color="auto" w:sz="4" w:space="0"/>
                    <w:bottom w:val="single" w:color="auto" w:sz="4" w:space="0"/>
                    <w:right w:val="nil"/>
                  </w:tcBorders>
                  <w:noWrap w:val="0"/>
                  <w:vAlign w:val="center"/>
                </w:tcPr>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饮用水水源二级保护区内新建、改建、扩建排放污染物的建设项目；已建成的排放污染物的建设项目，由县级以上人民政府责令拆除或者关闭。在饮用水水源二级保护区内从事网箱养殖、旅游等活动的，应当按照规定采取措施，防止污染饮用水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4" w:type="dxa"/>
                  <w:vMerge w:val="continue"/>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kern w:val="0"/>
                      <w:szCs w:val="21"/>
                    </w:rPr>
                  </w:pPr>
                </w:p>
              </w:tc>
              <w:tc>
                <w:tcPr>
                  <w:tcW w:w="85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kern w:val="0"/>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kern w:val="0"/>
                      <w:szCs w:val="21"/>
                    </w:rPr>
                  </w:pPr>
                </w:p>
              </w:tc>
              <w:tc>
                <w:tcPr>
                  <w:tcW w:w="432" w:type="pct"/>
                  <w:tcBorders>
                    <w:top w:val="single" w:color="auto" w:sz="4" w:space="0"/>
                    <w:left w:val="single" w:color="auto" w:sz="4" w:space="0"/>
                    <w:bottom w:val="single" w:color="auto" w:sz="12" w:space="0"/>
                    <w:right w:val="single" w:color="auto" w:sz="4" w:space="0"/>
                  </w:tcBorders>
                  <w:noWrap w:val="0"/>
                  <w:vAlign w:val="center"/>
                </w:tcPr>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准保护区</w:t>
                  </w:r>
                </w:p>
              </w:tc>
              <w:tc>
                <w:tcPr>
                  <w:tcW w:w="1704" w:type="pct"/>
                  <w:tcBorders>
                    <w:top w:val="single" w:color="auto" w:sz="4" w:space="0"/>
                    <w:left w:val="single" w:color="auto" w:sz="4" w:space="0"/>
                    <w:bottom w:val="single" w:color="auto" w:sz="12" w:space="0"/>
                    <w:right w:val="single" w:color="auto" w:sz="4" w:space="0"/>
                  </w:tcBorders>
                  <w:noWrap w:val="0"/>
                  <w:vAlign w:val="center"/>
                </w:tcPr>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准水域保护区：从犍为县火电厂至塘坝乡镇江坝江段的水域。</w:t>
                  </w:r>
                </w:p>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准陆域保护区：从犍为县火电厂至塘坝乡镇江坝江段纵深200米的陆域。</w:t>
                  </w:r>
                </w:p>
              </w:tc>
              <w:tc>
                <w:tcPr>
                  <w:tcW w:w="1559" w:type="pct"/>
                  <w:tcBorders>
                    <w:top w:val="single" w:color="auto" w:sz="4" w:space="0"/>
                    <w:left w:val="single" w:color="auto" w:sz="4" w:space="0"/>
                    <w:bottom w:val="single" w:color="auto" w:sz="12" w:space="0"/>
                    <w:right w:val="nil"/>
                  </w:tcBorders>
                  <w:noWrap w:val="0"/>
                  <w:vAlign w:val="center"/>
                </w:tcPr>
                <w:p>
                  <w:pPr>
                    <w:pStyle w:val="6"/>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禁止在饮用水水源准保护区内新建、扩建对水体污染严重的建设项目；改建建设项目，不得新增排污量。</w:t>
                  </w:r>
                </w:p>
              </w:tc>
            </w:tr>
          </w:tbl>
          <w:p>
            <w:pPr>
              <w:spacing w:line="360" w:lineRule="auto"/>
              <w:ind w:firstLine="480" w:firstLineChars="200"/>
              <w:rPr>
                <w:rFonts w:ascii="Times New Roman" w:hAnsi="Times New Roman"/>
                <w:color w:val="auto"/>
                <w:sz w:val="24"/>
                <w:szCs w:val="24"/>
              </w:rPr>
            </w:pPr>
            <w:r>
              <w:rPr>
                <w:rFonts w:ascii="宋体" w:hAnsi="宋体"/>
                <w:bCs/>
                <w:color w:val="auto"/>
                <w:kern w:val="0"/>
                <w:sz w:val="24"/>
                <w:szCs w:val="24"/>
              </w:rPr>
              <w:t>本项目位于</w:t>
            </w:r>
            <w:r>
              <w:rPr>
                <w:rFonts w:hint="eastAsia" w:ascii="宋体" w:hAnsi="宋体"/>
                <w:bCs/>
                <w:color w:val="auto"/>
                <w:kern w:val="0"/>
                <w:sz w:val="24"/>
                <w:szCs w:val="24"/>
              </w:rPr>
              <w:t>舞雩镇</w:t>
            </w:r>
            <w:r>
              <w:rPr>
                <w:rFonts w:ascii="宋体" w:hAnsi="宋体"/>
                <w:bCs/>
                <w:color w:val="auto"/>
                <w:kern w:val="0"/>
                <w:sz w:val="24"/>
                <w:szCs w:val="24"/>
              </w:rPr>
              <w:t>石马坝工业园区内，为犍为新型工业基地石马坝工业组团过渡保留区，本项目为技改项目，不新增生活污水</w:t>
            </w:r>
            <w:r>
              <w:rPr>
                <w:rFonts w:hint="eastAsia" w:ascii="宋体" w:hAnsi="宋体"/>
                <w:bCs/>
                <w:color w:val="auto"/>
                <w:kern w:val="0"/>
                <w:sz w:val="24"/>
                <w:szCs w:val="24"/>
                <w:lang w:eastAsia="zh-CN"/>
              </w:rPr>
              <w:t>。</w:t>
            </w:r>
            <w:r>
              <w:rPr>
                <w:rFonts w:hint="eastAsia" w:ascii="宋体" w:hAnsi="宋体"/>
                <w:bCs/>
                <w:color w:val="auto"/>
                <w:kern w:val="0"/>
                <w:sz w:val="24"/>
                <w:szCs w:val="24"/>
              </w:rPr>
              <w:t>项目生产废水经自建污水处理站处理后循环回用；冷却水循环使用不外排；生活污水经厂内预处理池处理后排入市政污水管网，最终进入犍为县污水处理厂处理后达标排放</w:t>
            </w:r>
            <w:r>
              <w:rPr>
                <w:rFonts w:ascii="宋体" w:hAnsi="宋体"/>
                <w:bCs/>
                <w:color w:val="auto"/>
                <w:kern w:val="0"/>
                <w:sz w:val="24"/>
                <w:szCs w:val="24"/>
              </w:rPr>
              <w:t>。乐山图南再生资源回收利用有限公司为过渡保留区内</w:t>
            </w:r>
            <w:r>
              <w:rPr>
                <w:rFonts w:hint="eastAsia" w:ascii="宋体" w:hAnsi="宋体"/>
                <w:bCs/>
                <w:color w:val="auto"/>
                <w:kern w:val="0"/>
                <w:sz w:val="24"/>
                <w:szCs w:val="24"/>
              </w:rPr>
              <w:t>已</w:t>
            </w:r>
            <w:r>
              <w:rPr>
                <w:rFonts w:ascii="宋体" w:hAnsi="宋体"/>
                <w:bCs/>
                <w:color w:val="auto"/>
                <w:kern w:val="0"/>
                <w:sz w:val="24"/>
                <w:szCs w:val="24"/>
              </w:rPr>
              <w:t>有企业，不在保护区范围内，且公司加强环境管理，能够确保污染物长期达标排放，本次技改不新增排污量。因此，项目建设对犍为县</w:t>
            </w:r>
            <w:r>
              <w:rPr>
                <w:rFonts w:hint="eastAsia" w:ascii="宋体" w:hAnsi="宋体"/>
                <w:bCs/>
                <w:color w:val="auto"/>
                <w:kern w:val="0"/>
                <w:sz w:val="24"/>
                <w:szCs w:val="24"/>
                <w:lang w:val="en-US" w:eastAsia="zh-CN"/>
              </w:rPr>
              <w:t>饮用水源保护</w:t>
            </w:r>
            <w:r>
              <w:rPr>
                <w:rFonts w:ascii="宋体" w:hAnsi="宋体"/>
                <w:bCs/>
                <w:color w:val="auto"/>
                <w:kern w:val="0"/>
                <w:sz w:val="24"/>
                <w:szCs w:val="24"/>
              </w:rPr>
              <w:t>区无影响。</w:t>
            </w:r>
          </w:p>
          <w:p>
            <w:pPr>
              <w:spacing w:line="360" w:lineRule="auto"/>
              <w:rPr>
                <w:rFonts w:ascii="Times New Roman" w:hAnsi="Times New Roman" w:cs="Calibri"/>
                <w:b/>
                <w:bCs/>
                <w:color w:val="auto"/>
                <w:sz w:val="24"/>
                <w:szCs w:val="24"/>
              </w:rPr>
            </w:pPr>
            <w:r>
              <w:rPr>
                <w:rFonts w:hint="eastAsia" w:ascii="宋体" w:hAnsi="宋体"/>
                <w:b/>
                <w:bCs/>
                <w:color w:val="auto"/>
                <w:sz w:val="24"/>
                <w:szCs w:val="24"/>
                <w:lang w:val="en-US" w:eastAsia="zh-CN"/>
              </w:rPr>
              <w:t>七、</w:t>
            </w:r>
            <w:r>
              <w:rPr>
                <w:rFonts w:hint="eastAsia" w:ascii="宋体" w:hAnsi="宋体"/>
                <w:b/>
                <w:bCs/>
                <w:color w:val="auto"/>
                <w:sz w:val="24"/>
                <w:szCs w:val="24"/>
              </w:rPr>
              <w:t>与土壤污染防治等相关规划的符合性</w:t>
            </w:r>
          </w:p>
          <w:p>
            <w:pPr>
              <w:pStyle w:val="2"/>
              <w:keepNext w:val="0"/>
              <w:keepLines w:val="0"/>
              <w:pageBreakBefore w:val="0"/>
              <w:widowControl w:val="0"/>
              <w:kinsoku/>
              <w:wordWrap/>
              <w:overflowPunct/>
              <w:topLinePunct w:val="0"/>
              <w:autoSpaceDE/>
              <w:autoSpaceDN/>
              <w:bidi w:val="0"/>
              <w:adjustRightInd w:val="0"/>
              <w:snapToGrid/>
              <w:spacing w:before="0" w:after="0" w:afterAutospacing="0" w:line="240" w:lineRule="auto"/>
              <w:ind w:left="0" w:right="0" w:firstLine="0"/>
              <w:jc w:val="center"/>
              <w:textAlignment w:val="baseline"/>
              <w:rPr>
                <w:rFonts w:hint="eastAsia" w:ascii="Times New Roman" w:hAnsi="Times New Roman" w:eastAsia="宋体" w:cs="Times New Roman"/>
                <w:bCs/>
                <w:color w:val="auto"/>
                <w:sz w:val="21"/>
                <w:szCs w:val="21"/>
              </w:rPr>
            </w:pPr>
            <w:r>
              <w:rPr>
                <w:rFonts w:ascii="宋体" w:eastAsia="宋体" w:cs="Times New Roman"/>
                <w:b/>
                <w:color w:val="auto"/>
                <w:sz w:val="21"/>
                <w:szCs w:val="21"/>
              </w:rPr>
              <w:t>表</w:t>
            </w:r>
            <w:r>
              <w:rPr>
                <w:rFonts w:hint="eastAsia" w:ascii="Times New Roman" w:hAnsi="Times New Roman" w:eastAsia="宋体" w:cs="Times New Roman"/>
                <w:b/>
                <w:color w:val="auto"/>
                <w:sz w:val="21"/>
                <w:szCs w:val="21"/>
              </w:rPr>
              <w:t>1</w:t>
            </w:r>
            <w:r>
              <w:rPr>
                <w:rFonts w:ascii="Times New Roman" w:hAnsi="Times New Roman" w:eastAsia="宋体" w:cs="Times New Roman"/>
                <w:b/>
                <w:color w:val="auto"/>
                <w:sz w:val="21"/>
                <w:szCs w:val="21"/>
              </w:rPr>
              <w:t>-</w:t>
            </w:r>
            <w:r>
              <w:rPr>
                <w:rFonts w:hint="eastAsia" w:ascii="Times New Roman" w:hAnsi="Times New Roman" w:eastAsia="宋体" w:cs="Times New Roman"/>
                <w:b/>
                <w:color w:val="auto"/>
                <w:sz w:val="21"/>
                <w:szCs w:val="21"/>
                <w:lang w:val="en-US" w:eastAsia="zh-CN"/>
              </w:rPr>
              <w:t xml:space="preserve">9 </w:t>
            </w:r>
            <w:r>
              <w:rPr>
                <w:rFonts w:ascii="Times New Roman" w:hAnsi="Times New Roman" w:eastAsia="宋体" w:cs="Times New Roman"/>
                <w:b/>
                <w:color w:val="auto"/>
                <w:sz w:val="21"/>
                <w:szCs w:val="21"/>
              </w:rPr>
              <w:t xml:space="preserve"> </w:t>
            </w:r>
            <w:r>
              <w:rPr>
                <w:rFonts w:ascii="宋体" w:eastAsia="宋体" w:cs="Times New Roman"/>
                <w:b/>
                <w:color w:val="auto"/>
                <w:sz w:val="21"/>
                <w:szCs w:val="21"/>
              </w:rPr>
              <w:t>项目与土壤污染防治行动计划符合性</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3830"/>
              <w:gridCol w:w="2260"/>
              <w:gridCol w:w="5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tcBorders>
                    <w:top w:val="single" w:color="auto" w:sz="12" w:space="0"/>
                    <w:left w:val="nil"/>
                    <w:bottom w:val="single" w:color="auto" w:sz="4" w:space="0"/>
                    <w:right w:val="single" w:color="auto" w:sz="4" w:space="0"/>
                  </w:tcBorders>
                  <w:shd w:val="clear" w:color="auto" w:fill="DCE6F2"/>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
                      <w:bCs w:val="0"/>
                      <w:color w:val="auto"/>
                      <w:sz w:val="21"/>
                      <w:szCs w:val="21"/>
                    </w:rPr>
                  </w:pPr>
                  <w:r>
                    <w:rPr>
                      <w:rFonts w:ascii="宋体" w:eastAsia="宋体" w:cs="Times New Roman"/>
                      <w:b/>
                      <w:bCs w:val="0"/>
                      <w:color w:val="auto"/>
                      <w:sz w:val="21"/>
                      <w:szCs w:val="21"/>
                    </w:rPr>
                    <w:t>土壤污染防治行动计划</w:t>
                  </w:r>
                </w:p>
              </w:tc>
              <w:tc>
                <w:tcPr>
                  <w:tcW w:w="2335" w:type="pct"/>
                  <w:tcBorders>
                    <w:top w:val="single" w:color="auto" w:sz="12" w:space="0"/>
                    <w:left w:val="single" w:color="auto" w:sz="4" w:space="0"/>
                    <w:bottom w:val="single" w:color="auto" w:sz="4" w:space="0"/>
                    <w:right w:val="single" w:color="auto" w:sz="4" w:space="0"/>
                  </w:tcBorders>
                  <w:shd w:val="clear" w:color="auto" w:fill="DCE6F2"/>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
                      <w:bCs w:val="0"/>
                      <w:color w:val="auto"/>
                      <w:sz w:val="21"/>
                      <w:szCs w:val="21"/>
                    </w:rPr>
                  </w:pPr>
                  <w:r>
                    <w:rPr>
                      <w:rFonts w:ascii="宋体" w:eastAsia="宋体" w:cs="Times New Roman"/>
                      <w:b/>
                      <w:bCs w:val="0"/>
                      <w:color w:val="auto"/>
                      <w:sz w:val="21"/>
                      <w:szCs w:val="21"/>
                    </w:rPr>
                    <w:t>相关要求</w:t>
                  </w:r>
                </w:p>
              </w:tc>
              <w:tc>
                <w:tcPr>
                  <w:tcW w:w="1378" w:type="pct"/>
                  <w:tcBorders>
                    <w:top w:val="single" w:color="auto" w:sz="12" w:space="0"/>
                    <w:left w:val="single" w:color="auto" w:sz="4" w:space="0"/>
                    <w:bottom w:val="single" w:color="auto" w:sz="4" w:space="0"/>
                    <w:right w:val="single" w:color="auto" w:sz="4" w:space="0"/>
                  </w:tcBorders>
                  <w:shd w:val="clear" w:color="auto" w:fill="DCE6F2"/>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
                      <w:bCs w:val="0"/>
                      <w:color w:val="auto"/>
                      <w:sz w:val="21"/>
                      <w:szCs w:val="21"/>
                    </w:rPr>
                  </w:pPr>
                  <w:r>
                    <w:rPr>
                      <w:rFonts w:ascii="宋体" w:eastAsia="宋体" w:cs="Times New Roman"/>
                      <w:b/>
                      <w:bCs w:val="0"/>
                      <w:color w:val="auto"/>
                      <w:sz w:val="21"/>
                      <w:szCs w:val="21"/>
                    </w:rPr>
                    <w:t>本项目情况</w:t>
                  </w:r>
                </w:p>
              </w:tc>
              <w:tc>
                <w:tcPr>
                  <w:tcW w:w="327" w:type="pct"/>
                  <w:tcBorders>
                    <w:top w:val="single" w:color="auto" w:sz="12" w:space="0"/>
                    <w:left w:val="single" w:color="auto" w:sz="4" w:space="0"/>
                    <w:bottom w:val="single" w:color="auto" w:sz="4" w:space="0"/>
                    <w:right w:val="nil"/>
                  </w:tcBorders>
                  <w:shd w:val="clear" w:color="auto" w:fill="DCE6F2"/>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
                      <w:bCs w:val="0"/>
                      <w:color w:val="auto"/>
                      <w:sz w:val="21"/>
                      <w:szCs w:val="21"/>
                    </w:rPr>
                  </w:pPr>
                  <w:r>
                    <w:rPr>
                      <w:rFonts w:ascii="宋体" w:eastAsia="宋体" w:cs="Times New Roman"/>
                      <w:b/>
                      <w:bCs w:val="0"/>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restart"/>
                  <w:tcBorders>
                    <w:top w:val="single" w:color="auto" w:sz="4" w:space="0"/>
                    <w:left w:val="nil"/>
                    <w:bottom w:val="single" w:color="auto" w:sz="4"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《土壤污染防治行动计划四川省工作方案》</w:t>
                  </w:r>
                </w:p>
              </w:tc>
              <w:tc>
                <w:tcPr>
                  <w:tcW w:w="2335"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rPr>
                      <w:rFonts w:ascii="Times New Roman" w:hAnsi="Times New Roman" w:eastAsia="宋体" w:cs="Times New Roman"/>
                      <w:bCs/>
                      <w:color w:val="auto"/>
                      <w:sz w:val="21"/>
                      <w:szCs w:val="21"/>
                    </w:rPr>
                  </w:pPr>
                  <w:r>
                    <w:rPr>
                      <w:rFonts w:ascii="宋体" w:eastAsia="宋体" w:cs="Times New Roman"/>
                      <w:bCs/>
                      <w:color w:val="auto"/>
                      <w:sz w:val="21"/>
                      <w:szCs w:val="21"/>
                    </w:rPr>
                    <w:t>（八）切实加大保护力度。</w:t>
                  </w:r>
                </w:p>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left"/>
                    <w:rPr>
                      <w:rFonts w:ascii="Times New Roman" w:hAnsi="Times New Roman" w:eastAsia="宋体" w:cs="Times New Roman"/>
                      <w:bCs/>
                      <w:color w:val="auto"/>
                      <w:sz w:val="21"/>
                      <w:szCs w:val="21"/>
                    </w:rPr>
                  </w:pPr>
                  <w:r>
                    <w:rPr>
                      <w:rFonts w:ascii="宋体" w:eastAsia="宋体" w:cs="Times New Roman"/>
                      <w:bCs/>
                      <w:color w:val="auto"/>
                      <w:sz w:val="21"/>
                      <w:szCs w:val="21"/>
                    </w:rPr>
                    <w:t>防控企业污染。严格控制在优先保护类耕地集中区域新建有色金属冶炼、石油加工、化工、焦化、电镀、制革等行业企业，现有相关行业企业要采用新技术、新工艺，加快提标升级改造步伐。</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项目为</w:t>
                  </w:r>
                  <w:r>
                    <w:rPr>
                      <w:rFonts w:hint="eastAsia" w:ascii="宋体" w:eastAsia="宋体" w:cs="Times New Roman"/>
                      <w:bCs/>
                      <w:color w:val="auto"/>
                      <w:sz w:val="21"/>
                      <w:szCs w:val="21"/>
                    </w:rPr>
                    <w:t>非金属废料和碎屑加工处理</w:t>
                  </w:r>
                  <w:r>
                    <w:rPr>
                      <w:rFonts w:ascii="宋体" w:eastAsia="宋体" w:cs="Times New Roman"/>
                      <w:bCs/>
                      <w:color w:val="auto"/>
                      <w:sz w:val="21"/>
                      <w:szCs w:val="21"/>
                    </w:rPr>
                    <w:t>项目，不属于有色金属冶炼、石油加工、化工、焦化、电镀、制革等行业企业，位于工业园区内，不占用耕地。</w:t>
                  </w:r>
                </w:p>
              </w:tc>
              <w:tc>
                <w:tcPr>
                  <w:tcW w:w="327" w:type="pct"/>
                  <w:tcBorders>
                    <w:top w:val="single" w:color="auto" w:sz="4" w:space="0"/>
                    <w:left w:val="single" w:color="auto" w:sz="4" w:space="0"/>
                    <w:bottom w:val="single" w:color="auto" w:sz="4" w:space="0"/>
                    <w:right w:val="nil"/>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spacing w:afterAutospacing="0" w:line="240" w:lineRule="auto"/>
                    <w:jc w:val="left"/>
                    <w:rPr>
                      <w:rFonts w:ascii="Times New Roman" w:hAnsi="Times New Roman"/>
                      <w:bCs/>
                      <w:color w:val="auto"/>
                      <w:spacing w:val="-2"/>
                      <w:kern w:val="0"/>
                      <w:szCs w:val="21"/>
                    </w:rPr>
                  </w:pPr>
                </w:p>
              </w:tc>
              <w:tc>
                <w:tcPr>
                  <w:tcW w:w="2335"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left"/>
                    <w:rPr>
                      <w:rFonts w:ascii="Times New Roman" w:hAnsi="Times New Roman" w:eastAsia="宋体" w:cs="Times New Roman"/>
                      <w:bCs/>
                      <w:color w:val="auto"/>
                      <w:sz w:val="21"/>
                      <w:szCs w:val="21"/>
                    </w:rPr>
                  </w:pPr>
                  <w:r>
                    <w:rPr>
                      <w:rFonts w:ascii="宋体" w:eastAsia="宋体" w:cs="Times New Roman"/>
                      <w:bCs/>
                      <w:color w:val="auto"/>
                      <w:sz w:val="21"/>
                      <w:szCs w:val="21"/>
                    </w:rP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项目按土壤导则要求开展土壤环境影响评价，并提出防范土壤污染的具体措施。</w:t>
                  </w:r>
                </w:p>
              </w:tc>
              <w:tc>
                <w:tcPr>
                  <w:tcW w:w="327" w:type="pct"/>
                  <w:tcBorders>
                    <w:top w:val="single" w:color="auto" w:sz="4" w:space="0"/>
                    <w:left w:val="single" w:color="auto" w:sz="4" w:space="0"/>
                    <w:bottom w:val="single" w:color="auto" w:sz="4" w:space="0"/>
                    <w:right w:val="nil"/>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spacing w:afterAutospacing="0" w:line="240" w:lineRule="auto"/>
                    <w:jc w:val="left"/>
                    <w:rPr>
                      <w:rFonts w:ascii="Times New Roman" w:hAnsi="Times New Roman"/>
                      <w:bCs/>
                      <w:color w:val="auto"/>
                      <w:spacing w:val="-2"/>
                      <w:kern w:val="0"/>
                      <w:szCs w:val="21"/>
                    </w:rPr>
                  </w:pPr>
                </w:p>
              </w:tc>
              <w:tc>
                <w:tcPr>
                  <w:tcW w:w="2335"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left"/>
                    <w:rPr>
                      <w:rFonts w:ascii="Times New Roman" w:hAnsi="Times New Roman" w:eastAsia="宋体" w:cs="Times New Roman"/>
                      <w:bCs/>
                      <w:color w:val="auto"/>
                      <w:sz w:val="21"/>
                      <w:szCs w:val="21"/>
                    </w:rPr>
                  </w:pPr>
                  <w:r>
                    <w:rPr>
                      <w:rFonts w:ascii="宋体" w:eastAsia="宋体" w:cs="Times New Roman"/>
                      <w:bCs/>
                      <w:color w:val="auto"/>
                      <w:sz w:val="21"/>
                      <w:szCs w:val="21"/>
                    </w:rPr>
                    <w:t>（十七）强化空间布局管控。</w:t>
                  </w:r>
                  <w:r>
                    <w:rPr>
                      <w:rFonts w:ascii="Times New Roman" w:hAnsi="Times New Roman" w:eastAsia="宋体" w:cs="Times New Roman"/>
                      <w:bCs/>
                      <w:color w:val="auto"/>
                      <w:sz w:val="21"/>
                      <w:szCs w:val="21"/>
                    </w:rPr>
                    <w:t>...</w:t>
                  </w:r>
                  <w:r>
                    <w:rPr>
                      <w:rFonts w:ascii="宋体" w:eastAsia="宋体" w:cs="Times New Roman"/>
                      <w:bCs/>
                      <w:color w:val="auto"/>
                      <w:sz w:val="21"/>
                      <w:szCs w:val="21"/>
                    </w:rPr>
                    <w:t>严格执行相关行业企业布局选址要求，禁止在居民区、学校、医疗和养老机构等周边新建有色金属冶炼、焦化等行业企业；</w:t>
                  </w:r>
                  <w:r>
                    <w:rPr>
                      <w:rFonts w:ascii="Times New Roman" w:hAnsi="Times New Roman" w:eastAsia="宋体" w:cs="Times New Roman"/>
                      <w:bCs/>
                      <w:color w:val="auto"/>
                      <w:sz w:val="21"/>
                      <w:szCs w:val="21"/>
                    </w:rPr>
                    <w:t>...</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本项目位于</w:t>
                  </w:r>
                  <w:r>
                    <w:rPr>
                      <w:rFonts w:hint="eastAsia" w:ascii="宋体" w:eastAsia="宋体" w:cs="Times New Roman"/>
                      <w:bCs/>
                      <w:color w:val="auto"/>
                      <w:sz w:val="21"/>
                      <w:szCs w:val="21"/>
                    </w:rPr>
                    <w:t>舞雩镇</w:t>
                  </w:r>
                  <w:r>
                    <w:rPr>
                      <w:rFonts w:ascii="宋体" w:eastAsia="宋体" w:cs="Times New Roman"/>
                      <w:bCs/>
                      <w:color w:val="auto"/>
                      <w:sz w:val="21"/>
                      <w:szCs w:val="21"/>
                    </w:rPr>
                    <w:t>石马坝工业园区内，不在居民区、学校、医疗和养老机构等周边。</w:t>
                  </w:r>
                </w:p>
              </w:tc>
              <w:tc>
                <w:tcPr>
                  <w:tcW w:w="327" w:type="pct"/>
                  <w:tcBorders>
                    <w:top w:val="single" w:color="auto" w:sz="4" w:space="0"/>
                    <w:left w:val="single" w:color="auto" w:sz="4" w:space="0"/>
                    <w:bottom w:val="single" w:color="auto" w:sz="4" w:space="0"/>
                    <w:right w:val="nil"/>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spacing w:afterAutospacing="0" w:line="240" w:lineRule="auto"/>
                    <w:jc w:val="left"/>
                    <w:rPr>
                      <w:rFonts w:ascii="Times New Roman" w:hAnsi="Times New Roman"/>
                      <w:bCs/>
                      <w:color w:val="auto"/>
                      <w:spacing w:val="-2"/>
                      <w:kern w:val="0"/>
                      <w:szCs w:val="21"/>
                    </w:rPr>
                  </w:pPr>
                </w:p>
              </w:tc>
              <w:tc>
                <w:tcPr>
                  <w:tcW w:w="2335"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rPr>
                      <w:rFonts w:ascii="Times New Roman" w:hAnsi="Times New Roman" w:eastAsia="宋体" w:cs="Times New Roman"/>
                      <w:bCs/>
                      <w:color w:val="auto"/>
                      <w:sz w:val="21"/>
                      <w:szCs w:val="21"/>
                    </w:rPr>
                  </w:pPr>
                  <w:r>
                    <w:rPr>
                      <w:rFonts w:ascii="宋体" w:eastAsia="宋体" w:cs="Times New Roman"/>
                      <w:bCs/>
                      <w:color w:val="auto"/>
                      <w:sz w:val="21"/>
                      <w:szCs w:val="21"/>
                    </w:rPr>
                    <w:t>（十八）严控工矿污染。</w:t>
                  </w:r>
                </w:p>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w:t>
                  </w:r>
                  <w:r>
                    <w:rPr>
                      <w:rFonts w:ascii="Times New Roman" w:hAnsi="Times New Roman" w:eastAsia="宋体" w:cs="Times New Roman"/>
                      <w:bCs/>
                      <w:color w:val="auto"/>
                      <w:sz w:val="21"/>
                      <w:szCs w:val="21"/>
                    </w:rPr>
                    <w:t>3</w:t>
                  </w:r>
                  <w:r>
                    <w:rPr>
                      <w:rFonts w:ascii="宋体" w:eastAsia="宋体" w:cs="Times New Roman"/>
                      <w:bCs/>
                      <w:color w:val="auto"/>
                      <w:sz w:val="21"/>
                      <w:szCs w:val="21"/>
                    </w:rPr>
                    <w:t>）加强涉重金属行业污染防控。严格执行重金属污染物排放标准并落实相关总量控制指标，</w:t>
                  </w:r>
                  <w:r>
                    <w:rPr>
                      <w:rFonts w:ascii="Times New Roman" w:hAnsi="Times New Roman" w:eastAsia="宋体" w:cs="Times New Roman"/>
                      <w:bCs/>
                      <w:color w:val="auto"/>
                      <w:sz w:val="21"/>
                      <w:szCs w:val="21"/>
                    </w:rPr>
                    <w:t>...</w:t>
                  </w:r>
                  <w:r>
                    <w:rPr>
                      <w:rFonts w:ascii="宋体" w:eastAsia="宋体" w:cs="Times New Roman"/>
                      <w:bCs/>
                      <w:color w:val="auto"/>
                      <w:sz w:val="21"/>
                      <w:szCs w:val="21"/>
                    </w:rPr>
                    <w:t>继续淘汰涉重金属重点行业落后产能，完善重金属相关行业准入条件，禁止新建落后产能或产能严重过剩行业的建设项目。按计划逐步淘汰普通照明白炽灯。提高铅酸蓄电池等行业落后产能淘汰标准，逐步退出落后产能。制定涉重金属重点工业行业清洁生产技术推行方案，鼓励企业采用先进适用生产工艺和技术。</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项目属于</w:t>
                  </w:r>
                  <w:r>
                    <w:rPr>
                      <w:rFonts w:hint="eastAsia" w:ascii="宋体" w:eastAsia="宋体" w:cs="Times New Roman"/>
                      <w:bCs/>
                      <w:color w:val="auto"/>
                      <w:sz w:val="21"/>
                      <w:szCs w:val="21"/>
                    </w:rPr>
                    <w:t>非金属废料和碎屑加工处理</w:t>
                  </w:r>
                  <w:r>
                    <w:rPr>
                      <w:rFonts w:ascii="宋体" w:eastAsia="宋体" w:cs="Times New Roman"/>
                      <w:bCs/>
                      <w:color w:val="auto"/>
                      <w:sz w:val="21"/>
                      <w:szCs w:val="21"/>
                    </w:rPr>
                    <w:t>项目，不属于严控重点行业生产类项目，但在重点防控区，不涉及落后产能或产能过剩行业。项目作为技改项目，</w:t>
                  </w:r>
                  <w:r>
                    <w:rPr>
                      <w:rFonts w:hint="eastAsia" w:ascii="宋体" w:eastAsia="宋体" w:cs="Times New Roman"/>
                      <w:bCs/>
                      <w:color w:val="auto"/>
                      <w:sz w:val="21"/>
                      <w:szCs w:val="21"/>
                    </w:rPr>
                    <w:t>能够有效削减污染物排放</w:t>
                  </w:r>
                  <w:r>
                    <w:rPr>
                      <w:rFonts w:ascii="宋体" w:eastAsia="宋体" w:cs="Times New Roman"/>
                      <w:bCs/>
                      <w:color w:val="auto"/>
                      <w:sz w:val="21"/>
                      <w:szCs w:val="21"/>
                    </w:rPr>
                    <w:t>，总量由</w:t>
                  </w:r>
                  <w:r>
                    <w:rPr>
                      <w:rFonts w:hint="eastAsia" w:ascii="宋体" w:eastAsia="宋体" w:cs="Times New Roman"/>
                      <w:bCs/>
                      <w:color w:val="auto"/>
                      <w:sz w:val="21"/>
                      <w:szCs w:val="21"/>
                    </w:rPr>
                    <w:t>厂内已有总量协调</w:t>
                  </w:r>
                  <w:r>
                    <w:rPr>
                      <w:rFonts w:ascii="宋体" w:eastAsia="宋体" w:cs="Times New Roman"/>
                      <w:bCs/>
                      <w:color w:val="auto"/>
                      <w:sz w:val="21"/>
                      <w:szCs w:val="21"/>
                    </w:rPr>
                    <w:t>。</w:t>
                  </w:r>
                </w:p>
              </w:tc>
              <w:tc>
                <w:tcPr>
                  <w:tcW w:w="327" w:type="pct"/>
                  <w:tcBorders>
                    <w:top w:val="single" w:color="auto" w:sz="4" w:space="0"/>
                    <w:left w:val="single" w:color="auto" w:sz="4" w:space="0"/>
                    <w:bottom w:val="single" w:color="auto" w:sz="4" w:space="0"/>
                    <w:right w:val="nil"/>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spacing w:afterAutospacing="0" w:line="240" w:lineRule="auto"/>
                    <w:jc w:val="left"/>
                    <w:rPr>
                      <w:rFonts w:ascii="Times New Roman" w:hAnsi="Times New Roman"/>
                      <w:bCs/>
                      <w:color w:val="auto"/>
                      <w:spacing w:val="-2"/>
                      <w:kern w:val="0"/>
                      <w:szCs w:val="21"/>
                    </w:rPr>
                  </w:pPr>
                </w:p>
              </w:tc>
              <w:tc>
                <w:tcPr>
                  <w:tcW w:w="2335"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rPr>
                      <w:rFonts w:ascii="Times New Roman" w:hAnsi="Times New Roman" w:eastAsia="宋体" w:cs="Times New Roman"/>
                      <w:bCs/>
                      <w:color w:val="auto"/>
                      <w:sz w:val="21"/>
                      <w:szCs w:val="21"/>
                    </w:rPr>
                  </w:pPr>
                  <w:r>
                    <w:rPr>
                      <w:rFonts w:ascii="宋体" w:eastAsia="宋体" w:cs="Times New Roman"/>
                      <w:bCs/>
                      <w:color w:val="auto"/>
                      <w:sz w:val="21"/>
                      <w:szCs w:val="21"/>
                    </w:rPr>
                    <w:t>（十八）严控工矿污染。</w:t>
                  </w:r>
                </w:p>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rPr>
                      <w:rFonts w:ascii="Times New Roman" w:hAnsi="Times New Roman" w:eastAsia="宋体" w:cs="Times New Roman"/>
                      <w:bCs/>
                      <w:color w:val="auto"/>
                      <w:sz w:val="21"/>
                      <w:szCs w:val="21"/>
                    </w:rPr>
                  </w:pPr>
                  <w:r>
                    <w:rPr>
                      <w:rFonts w:ascii="宋体" w:eastAsia="宋体" w:cs="Times New Roman"/>
                      <w:bCs/>
                      <w:color w:val="auto"/>
                      <w:sz w:val="21"/>
                      <w:szCs w:val="21"/>
                    </w:rPr>
                    <w:t>（</w:t>
                  </w:r>
                  <w:r>
                    <w:rPr>
                      <w:rFonts w:ascii="Times New Roman" w:hAnsi="Times New Roman" w:eastAsia="宋体" w:cs="Times New Roman"/>
                      <w:bCs/>
                      <w:color w:val="auto"/>
                      <w:sz w:val="21"/>
                      <w:szCs w:val="21"/>
                    </w:rPr>
                    <w:t>4</w:t>
                  </w:r>
                  <w:r>
                    <w:rPr>
                      <w:rFonts w:ascii="宋体" w:eastAsia="宋体" w:cs="Times New Roman"/>
                      <w:bCs/>
                      <w:color w:val="auto"/>
                      <w:sz w:val="21"/>
                      <w:szCs w:val="21"/>
                    </w:rPr>
                    <w:t>）加强工业废物处理处置。全面整治尾矿、煤矸石、工业副产石膏、粉煤灰、赤泥、冶炼渣、电石渣、铬渣、砷渣以及脱硫、脱硝、除尘产生固体废物的堆存场所，完善防扬散、防流失、防渗漏等设施，制定整治方案并有序实施。加强工业固体废物综合利用。对电子废物、废轮胎、废塑料等再生利用活动进行清理整顿，引导有关企业采用先进适用加工工艺、集聚发展，集中建设和运营污染治理设施，防止污染土壤和地下水。</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本项目产生一般工业固废能够实现综合利用，危险废物暂存于危废暂存间内定期交资质单位处置，不会产生二次污染。</w:t>
                  </w:r>
                </w:p>
              </w:tc>
              <w:tc>
                <w:tcPr>
                  <w:tcW w:w="327" w:type="pct"/>
                  <w:tcBorders>
                    <w:top w:val="single" w:color="auto" w:sz="4" w:space="0"/>
                    <w:left w:val="single" w:color="auto" w:sz="4" w:space="0"/>
                    <w:bottom w:val="single" w:color="auto" w:sz="4" w:space="0"/>
                    <w:right w:val="nil"/>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tcBorders>
                    <w:top w:val="single" w:color="auto" w:sz="4" w:space="0"/>
                    <w:left w:val="nil"/>
                    <w:bottom w:val="single" w:color="auto" w:sz="12"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《四川省环境污染防治</w:t>
                  </w:r>
                  <w:r>
                    <w:rPr>
                      <w:rFonts w:ascii="Times New Roman" w:hAnsi="Times New Roman" w:eastAsia="宋体" w:cs="Times New Roman"/>
                      <w:bCs/>
                      <w:color w:val="auto"/>
                      <w:sz w:val="21"/>
                      <w:szCs w:val="21"/>
                    </w:rPr>
                    <w:t>“</w:t>
                  </w:r>
                  <w:r>
                    <w:rPr>
                      <w:rFonts w:ascii="宋体" w:eastAsia="宋体" w:cs="Times New Roman"/>
                      <w:bCs/>
                      <w:color w:val="auto"/>
                      <w:sz w:val="21"/>
                      <w:szCs w:val="21"/>
                    </w:rPr>
                    <w:t>三大战役</w:t>
                  </w:r>
                  <w:r>
                    <w:rPr>
                      <w:rFonts w:ascii="Times New Roman" w:hAnsi="Times New Roman" w:eastAsia="宋体" w:cs="Times New Roman"/>
                      <w:bCs/>
                      <w:color w:val="auto"/>
                      <w:sz w:val="21"/>
                      <w:szCs w:val="21"/>
                    </w:rPr>
                    <w:t>”</w:t>
                  </w:r>
                  <w:r>
                    <w:rPr>
                      <w:rFonts w:ascii="宋体" w:eastAsia="宋体" w:cs="Times New Roman"/>
                      <w:bCs/>
                      <w:color w:val="auto"/>
                      <w:sz w:val="21"/>
                      <w:szCs w:val="21"/>
                    </w:rPr>
                    <w:t>实施方案</w:t>
                  </w:r>
                  <w:r>
                    <w:rPr>
                      <w:rFonts w:ascii="Times New Roman" w:hAnsi="Times New Roman" w:eastAsia="宋体" w:cs="Times New Roman"/>
                      <w:bCs/>
                      <w:color w:val="auto"/>
                      <w:sz w:val="21"/>
                      <w:szCs w:val="21"/>
                    </w:rPr>
                    <w:t>2018</w:t>
                  </w:r>
                  <w:r>
                    <w:rPr>
                      <w:rFonts w:ascii="宋体" w:eastAsia="宋体" w:cs="Times New Roman"/>
                      <w:bCs/>
                      <w:color w:val="auto"/>
                      <w:sz w:val="21"/>
                      <w:szCs w:val="21"/>
                    </w:rPr>
                    <w:t>年工作要点》（川污防</w:t>
                  </w:r>
                  <w:r>
                    <w:rPr>
                      <w:rFonts w:ascii="Times New Roman" w:hAnsi="Times New Roman" w:eastAsia="宋体" w:cs="Times New Roman"/>
                      <w:bCs/>
                      <w:color w:val="auto"/>
                      <w:sz w:val="21"/>
                      <w:szCs w:val="21"/>
                    </w:rPr>
                    <w:t>“</w:t>
                  </w:r>
                  <w:r>
                    <w:rPr>
                      <w:rFonts w:ascii="宋体" w:eastAsia="宋体" w:cs="Times New Roman"/>
                      <w:bCs/>
                      <w:color w:val="auto"/>
                      <w:sz w:val="21"/>
                      <w:szCs w:val="21"/>
                    </w:rPr>
                    <w:t>三大战役</w:t>
                  </w:r>
                  <w:r>
                    <w:rPr>
                      <w:rFonts w:ascii="Times New Roman" w:hAnsi="Times New Roman" w:eastAsia="宋体" w:cs="Times New Roman"/>
                      <w:bCs/>
                      <w:color w:val="auto"/>
                      <w:sz w:val="21"/>
                      <w:szCs w:val="21"/>
                    </w:rPr>
                    <w:t>”</w:t>
                  </w:r>
                  <w:r>
                    <w:rPr>
                      <w:rFonts w:ascii="宋体" w:eastAsia="宋体" w:cs="Times New Roman"/>
                      <w:bCs/>
                      <w:color w:val="auto"/>
                      <w:sz w:val="21"/>
                      <w:szCs w:val="21"/>
                    </w:rPr>
                    <w:t>办</w:t>
                  </w:r>
                  <w:r>
                    <w:rPr>
                      <w:rFonts w:ascii="Times New Roman" w:hAnsi="Times New Roman" w:eastAsia="宋体" w:cs="Times New Roman"/>
                      <w:bCs/>
                      <w:color w:val="auto"/>
                      <w:sz w:val="21"/>
                      <w:szCs w:val="21"/>
                    </w:rPr>
                    <w:t>[2018]14</w:t>
                  </w:r>
                  <w:r>
                    <w:rPr>
                      <w:rFonts w:ascii="宋体" w:eastAsia="宋体" w:cs="Times New Roman"/>
                      <w:bCs/>
                      <w:color w:val="auto"/>
                      <w:sz w:val="21"/>
                      <w:szCs w:val="21"/>
                    </w:rPr>
                    <w:t>号）</w:t>
                  </w:r>
                </w:p>
              </w:tc>
              <w:tc>
                <w:tcPr>
                  <w:tcW w:w="2335" w:type="pct"/>
                  <w:tcBorders>
                    <w:top w:val="single" w:color="auto" w:sz="4" w:space="0"/>
                    <w:left w:val="single" w:color="auto" w:sz="4" w:space="0"/>
                    <w:bottom w:val="single" w:color="auto" w:sz="12"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rPr>
                      <w:rFonts w:ascii="Times New Roman" w:hAnsi="Times New Roman" w:eastAsia="宋体" w:cs="Times New Roman"/>
                      <w:bCs/>
                      <w:color w:val="auto"/>
                      <w:sz w:val="21"/>
                      <w:szCs w:val="21"/>
                    </w:rPr>
                  </w:pPr>
                  <w:r>
                    <w:rPr>
                      <w:rFonts w:ascii="宋体" w:eastAsia="宋体" w:cs="Times New Roman"/>
                      <w:bCs/>
                      <w:color w:val="auto"/>
                      <w:sz w:val="21"/>
                      <w:szCs w:val="21"/>
                    </w:rPr>
                    <w:t>（三）打好净土保卫战</w:t>
                  </w:r>
                </w:p>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w:t>
                  </w:r>
                  <w:r>
                    <w:rPr>
                      <w:rFonts w:ascii="宋体" w:eastAsia="宋体" w:cs="Times New Roman"/>
                      <w:bCs/>
                      <w:color w:val="auto"/>
                      <w:sz w:val="21"/>
                      <w:szCs w:val="21"/>
                    </w:rPr>
                    <w:t>实施建设用地污染风险防范行动。严格执行建设用地再开发利用场地调查评估和治理修复制度。建立疑似污染地块和污染地块清单，开展污染地块土壤环境调查、风险评估、治理修复、成效评估等工作。重度污染农用地转为城镇建设用地的要开展土壤环境调查与风险评估。排放重点污染物的建设项目要认真执行土壤环境影响评价有关规定，严格落实环保</w:t>
                  </w:r>
                  <w:r>
                    <w:rPr>
                      <w:rFonts w:ascii="Times New Roman" w:hAnsi="Times New Roman" w:eastAsia="宋体" w:cs="Times New Roman"/>
                      <w:bCs/>
                      <w:color w:val="auto"/>
                      <w:sz w:val="21"/>
                      <w:szCs w:val="21"/>
                    </w:rPr>
                    <w:t>“</w:t>
                  </w:r>
                  <w:r>
                    <w:rPr>
                      <w:rFonts w:ascii="宋体" w:eastAsia="宋体" w:cs="Times New Roman"/>
                      <w:bCs/>
                      <w:color w:val="auto"/>
                      <w:sz w:val="21"/>
                      <w:szCs w:val="21"/>
                    </w:rPr>
                    <w:t>三同时</w:t>
                  </w:r>
                  <w:r>
                    <w:rPr>
                      <w:rFonts w:ascii="Times New Roman" w:hAnsi="Times New Roman" w:eastAsia="宋体" w:cs="Times New Roman"/>
                      <w:bCs/>
                      <w:color w:val="auto"/>
                      <w:sz w:val="21"/>
                      <w:szCs w:val="21"/>
                    </w:rPr>
                    <w:t>”</w:t>
                  </w:r>
                  <w:r>
                    <w:rPr>
                      <w:rFonts w:ascii="宋体" w:eastAsia="宋体" w:cs="Times New Roman"/>
                      <w:bCs/>
                      <w:color w:val="auto"/>
                      <w:sz w:val="21"/>
                      <w:szCs w:val="21"/>
                    </w:rPr>
                    <w:t>制度。严禁不符合土壤环境质量要求的地块进入用地程序，确保人居环境安全。</w:t>
                  </w:r>
                  <w:r>
                    <w:rPr>
                      <w:rFonts w:ascii="Times New Roman" w:hAnsi="Times New Roman" w:eastAsia="宋体" w:cs="Times New Roman"/>
                      <w:bCs/>
                      <w:color w:val="auto"/>
                      <w:sz w:val="21"/>
                      <w:szCs w:val="21"/>
                    </w:rPr>
                    <w:t>...</w:t>
                  </w:r>
                </w:p>
              </w:tc>
              <w:tc>
                <w:tcPr>
                  <w:tcW w:w="1378" w:type="pct"/>
                  <w:tcBorders>
                    <w:top w:val="single" w:color="auto" w:sz="4" w:space="0"/>
                    <w:left w:val="single" w:color="auto" w:sz="4" w:space="0"/>
                    <w:bottom w:val="single" w:color="auto" w:sz="12" w:space="0"/>
                    <w:right w:val="single" w:color="auto" w:sz="4" w:space="0"/>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项目属于</w:t>
                  </w:r>
                  <w:r>
                    <w:rPr>
                      <w:rFonts w:hint="eastAsia" w:ascii="宋体" w:eastAsia="宋体" w:cs="Times New Roman"/>
                      <w:bCs/>
                      <w:color w:val="auto"/>
                      <w:sz w:val="21"/>
                      <w:szCs w:val="21"/>
                    </w:rPr>
                    <w:t>非金属废料和碎屑加工处理</w:t>
                  </w:r>
                  <w:r>
                    <w:rPr>
                      <w:rFonts w:ascii="宋体" w:eastAsia="宋体" w:cs="Times New Roman"/>
                      <w:bCs/>
                      <w:color w:val="auto"/>
                      <w:sz w:val="21"/>
                      <w:szCs w:val="21"/>
                    </w:rPr>
                    <w:t>项目且项目位于工业园区内。</w:t>
                  </w:r>
                </w:p>
              </w:tc>
              <w:tc>
                <w:tcPr>
                  <w:tcW w:w="327" w:type="pct"/>
                  <w:tcBorders>
                    <w:top w:val="single" w:color="auto" w:sz="4" w:space="0"/>
                    <w:left w:val="single" w:color="auto" w:sz="4" w:space="0"/>
                    <w:bottom w:val="single" w:color="auto" w:sz="12" w:space="0"/>
                    <w:right w:val="nil"/>
                  </w:tcBorders>
                  <w:noWrap w:val="0"/>
                  <w:vAlign w:val="center"/>
                </w:tcPr>
                <w:p>
                  <w:pPr>
                    <w:pStyle w:val="2"/>
                    <w:keepNext w:val="0"/>
                    <w:keepLines w:val="0"/>
                    <w:pageBreakBefore w:val="0"/>
                    <w:kinsoku/>
                    <w:wordWrap/>
                    <w:overflowPunct/>
                    <w:topLinePunct w:val="0"/>
                    <w:autoSpaceDE/>
                    <w:autoSpaceDN/>
                    <w:bidi w:val="0"/>
                    <w:snapToGrid/>
                    <w:spacing w:before="0" w:after="0" w:afterAutospacing="0" w:line="240" w:lineRule="auto"/>
                    <w:ind w:left="0" w:right="0" w:firstLine="0"/>
                    <w:jc w:val="center"/>
                    <w:rPr>
                      <w:rFonts w:ascii="Times New Roman" w:hAnsi="Times New Roman" w:eastAsia="宋体" w:cs="Times New Roman"/>
                      <w:bCs/>
                      <w:color w:val="auto"/>
                      <w:sz w:val="21"/>
                      <w:szCs w:val="21"/>
                    </w:rPr>
                  </w:pPr>
                  <w:r>
                    <w:rPr>
                      <w:rFonts w:ascii="宋体" w:eastAsia="宋体" w:cs="Times New Roman"/>
                      <w:bCs/>
                      <w:color w:val="auto"/>
                      <w:sz w:val="21"/>
                      <w:szCs w:val="21"/>
                    </w:rPr>
                    <w:t>符合</w:t>
                  </w:r>
                </w:p>
              </w:tc>
            </w:tr>
          </w:tbl>
          <w:p>
            <w:pPr>
              <w:spacing w:line="360" w:lineRule="auto"/>
              <w:ind w:firstLine="480" w:firstLineChars="200"/>
              <w:jc w:val="left"/>
              <w:rPr>
                <w:rFonts w:ascii="Times New Roman" w:hAnsi="Times New Roman" w:cs="Calibri"/>
                <w:bCs/>
                <w:color w:val="auto"/>
                <w:sz w:val="24"/>
                <w:szCs w:val="24"/>
              </w:rPr>
            </w:pPr>
            <w:r>
              <w:rPr>
                <w:rFonts w:hint="eastAsia" w:ascii="宋体" w:hAnsi="宋体"/>
                <w:bCs/>
                <w:color w:val="auto"/>
                <w:sz w:val="24"/>
                <w:szCs w:val="24"/>
              </w:rPr>
              <w:t>综上分析，本项目不属于有色金属冶炼、石油加工、化工、焦化、电镀、制革等行业企业，位于乐山市犍为县舞雩镇石马坝工业园区内，不在居民区、学校、医疗和养老机构等周边，不占用耕地；项目产生的一般工业固废能够实现综合利用，危险废物暂存于厂内危废暂存间，定期交资质单位处置不会产生二次污染，固废暂存场所采取了污染防治措施，与土壤污染防治行动方案、《土壤污染防治行动计划四川省工作方案》相符。</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lang w:val="en-US" w:eastAsia="zh-CN" w:bidi="ar"/>
              </w:rPr>
            </w:pPr>
            <w:r>
              <w:rPr>
                <w:rFonts w:hint="eastAsia"/>
                <w:b/>
                <w:bCs/>
                <w:color w:val="auto"/>
                <w:sz w:val="24"/>
                <w:szCs w:val="24"/>
                <w:lang w:val="en-US" w:eastAsia="zh-CN"/>
              </w:rPr>
              <w:t>八</w:t>
            </w:r>
            <w:r>
              <w:rPr>
                <w:rFonts w:hint="eastAsia" w:ascii="Times New Roman" w:hAnsi="Times New Roman"/>
                <w:b/>
                <w:bCs/>
                <w:color w:val="auto"/>
                <w:sz w:val="24"/>
                <w:szCs w:val="24"/>
                <w:lang w:eastAsia="zh-CN"/>
              </w:rPr>
              <w:t>、</w:t>
            </w:r>
            <w:r>
              <w:rPr>
                <w:rFonts w:hint="eastAsia" w:ascii="宋体" w:hAnsi="宋体"/>
                <w:b/>
                <w:bCs/>
                <w:color w:val="auto"/>
                <w:sz w:val="24"/>
                <w:szCs w:val="24"/>
              </w:rPr>
              <w:t>与《</w:t>
            </w:r>
            <w:r>
              <w:rPr>
                <w:rFonts w:hint="default" w:ascii="Times New Roman" w:hAnsi="Times New Roman" w:eastAsia="宋体" w:cs="Times New Roman"/>
                <w:b/>
                <w:bCs/>
                <w:color w:val="auto"/>
                <w:kern w:val="0"/>
                <w:sz w:val="24"/>
                <w:szCs w:val="24"/>
                <w:lang w:val="en-US" w:eastAsia="zh-CN" w:bidi="ar"/>
              </w:rPr>
              <w:t>废塑料综合利用行业规范条件</w:t>
            </w:r>
            <w:r>
              <w:rPr>
                <w:rFonts w:hint="eastAsia" w:ascii="宋体" w:hAnsi="宋体"/>
                <w:b/>
                <w:bCs/>
                <w:color w:val="auto"/>
                <w:sz w:val="24"/>
                <w:szCs w:val="24"/>
              </w:rPr>
              <w:t>》符合性分析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本项目与《废塑料综合利用行业规范条件》的符合性详见下表。</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10</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本项目与废塑料综合利用行业规范条件符合性</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7"/>
              <w:gridCol w:w="3717"/>
              <w:gridCol w:w="2758"/>
              <w:gridCol w:w="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tcBorders>
                    <w:tl2br w:val="nil"/>
                    <w:tr2bl w:val="nil"/>
                  </w:tcBorders>
                  <w:shd w:val="clear" w:color="auto" w:fill="DCE6F2"/>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序号</w:t>
                  </w:r>
                </w:p>
              </w:tc>
              <w:tc>
                <w:tcPr>
                  <w:tcW w:w="2266" w:type="pct"/>
                  <w:tcBorders>
                    <w:tl2br w:val="nil"/>
                    <w:tr2bl w:val="nil"/>
                  </w:tcBorders>
                  <w:shd w:val="clear" w:color="auto" w:fill="DCE6F2"/>
                  <w:noWrap w:val="0"/>
                  <w:vAlign w:val="center"/>
                </w:tcPr>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废</w:t>
                  </w:r>
                  <w:r>
                    <w:rPr>
                      <w:rFonts w:hint="eastAsia" w:ascii="Times New Roman" w:hAnsi="Times New Roman" w:eastAsia="宋体" w:cs="Times New Roman"/>
                      <w:b/>
                      <w:bCs/>
                      <w:color w:val="auto"/>
                      <w:kern w:val="0"/>
                      <w:sz w:val="21"/>
                      <w:szCs w:val="21"/>
                      <w:lang w:val="en-US" w:eastAsia="zh-CN" w:bidi="ar"/>
                    </w:rPr>
                    <w:t>塑料</w:t>
                  </w:r>
                  <w:r>
                    <w:rPr>
                      <w:rFonts w:hint="default" w:ascii="Times New Roman" w:hAnsi="Times New Roman" w:eastAsia="宋体" w:cs="Times New Roman"/>
                      <w:b/>
                      <w:bCs/>
                      <w:color w:val="auto"/>
                      <w:kern w:val="0"/>
                      <w:sz w:val="21"/>
                      <w:szCs w:val="21"/>
                      <w:lang w:val="en-US" w:eastAsia="zh-CN" w:bidi="ar"/>
                    </w:rPr>
                    <w:t>加工行业准入条件</w:t>
                  </w:r>
                </w:p>
              </w:tc>
              <w:tc>
                <w:tcPr>
                  <w:tcW w:w="1681" w:type="pct"/>
                  <w:tcBorders>
                    <w:tl2br w:val="nil"/>
                    <w:tr2bl w:val="nil"/>
                  </w:tcBorders>
                  <w:shd w:val="clear" w:color="auto" w:fill="DCE6F2"/>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本项目</w:t>
                  </w:r>
                </w:p>
              </w:tc>
              <w:tc>
                <w:tcPr>
                  <w:tcW w:w="565" w:type="pct"/>
                  <w:tcBorders>
                    <w:tl2br w:val="nil"/>
                    <w:tr2bl w:val="nil"/>
                  </w:tcBorders>
                  <w:shd w:val="clear" w:color="auto" w:fill="DCE6F2"/>
                  <w:noWrap w:val="0"/>
                  <w:vAlign w:val="center"/>
                </w:tcPr>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pct"/>
                  <w:vMerge w:val="restar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企业的设立和布局</w:t>
                  </w:r>
                </w:p>
                <w:p>
                  <w:pPr>
                    <w:keepNext w:val="0"/>
                    <w:keepLines w:val="0"/>
                    <w:widowControl/>
                    <w:suppressLineNumbers w:val="0"/>
                    <w:spacing w:line="240" w:lineRule="auto"/>
                    <w:jc w:val="both"/>
                    <w:rPr>
                      <w:rFonts w:hint="default" w:ascii="Times New Roman" w:hAnsi="Times New Roman" w:eastAsia="宋体" w:cs="Times New Roman"/>
                      <w:b/>
                      <w:color w:val="auto"/>
                      <w:kern w:val="0"/>
                      <w:sz w:val="21"/>
                      <w:szCs w:val="21"/>
                      <w:vertAlign w:val="baseline"/>
                      <w:lang w:val="en-US" w:eastAsia="zh-CN" w:bidi="ar"/>
                    </w:rPr>
                  </w:pPr>
                </w:p>
              </w:tc>
              <w:tc>
                <w:tcPr>
                  <w:tcW w:w="2266"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color w:val="auto"/>
                      <w:sz w:val="21"/>
                      <w:szCs w:val="21"/>
                    </w:rPr>
                    <w:t>（一）</w:t>
                  </w:r>
                  <w:r>
                    <w:rPr>
                      <w:rFonts w:hint="default" w:ascii="Times New Roman" w:hAnsi="Times New Roman" w:eastAsia="宋体" w:cs="Times New Roman"/>
                      <w:color w:val="auto"/>
                      <w:sz w:val="21"/>
                      <w:szCs w:val="21"/>
                      <w:lang w:eastAsia="zh-CN"/>
                    </w:rPr>
                    <w:t>废塑料综合利用</w:t>
                  </w:r>
                  <w:r>
                    <w:rPr>
                      <w:rFonts w:hint="default" w:ascii="Times New Roman" w:hAnsi="Times New Roman" w:eastAsia="宋体" w:cs="Times New Roman"/>
                      <w:color w:val="auto"/>
                      <w:sz w:val="21"/>
                      <w:szCs w:val="21"/>
                    </w:rPr>
                    <w:t>企业</w:t>
                  </w:r>
                  <w:r>
                    <w:rPr>
                      <w:rFonts w:hint="default" w:ascii="Times New Roman" w:hAnsi="Times New Roman" w:eastAsia="宋体" w:cs="Times New Roman"/>
                      <w:color w:val="auto"/>
                      <w:sz w:val="21"/>
                      <w:szCs w:val="21"/>
                      <w:lang w:eastAsia="zh-CN"/>
                    </w:rPr>
                    <w:t>是指采用物理机械法对热塑性废塑料进行再生加工的企业，企业类型主要包括PET再生瓶片类企业、废塑料破碎清洗分选类企业以及塑料再生造粒类企业。</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color w:val="auto"/>
                      <w:kern w:val="0"/>
                      <w:sz w:val="21"/>
                      <w:szCs w:val="21"/>
                      <w:vertAlign w:val="baseline"/>
                      <w:lang w:val="en-US" w:eastAsia="zh-CN" w:bidi="ar"/>
                    </w:rPr>
                  </w:pPr>
                  <w:r>
                    <w:rPr>
                      <w:rFonts w:hint="eastAsia" w:ascii="宋体" w:hAnsi="宋体" w:eastAsia="宋体" w:cs="宋体"/>
                      <w:color w:val="auto"/>
                      <w:kern w:val="0"/>
                      <w:sz w:val="21"/>
                      <w:szCs w:val="21"/>
                      <w:lang w:val="en-US" w:eastAsia="zh-CN" w:bidi="ar"/>
                    </w:rPr>
                    <w:t>本项目属于</w:t>
                  </w:r>
                  <w:r>
                    <w:rPr>
                      <w:rFonts w:hint="default" w:ascii="Times New Roman" w:hAnsi="Times New Roman" w:eastAsia="宋体" w:cs="Times New Roman"/>
                      <w:color w:val="auto"/>
                      <w:sz w:val="21"/>
                      <w:szCs w:val="21"/>
                      <w:lang w:eastAsia="zh-CN"/>
                    </w:rPr>
                    <w:t>塑料再生造粒类企</w:t>
                  </w:r>
                  <w:r>
                    <w:rPr>
                      <w:rFonts w:hint="eastAsia" w:ascii="Times New Roman" w:hAnsi="Times New Roman" w:eastAsia="宋体" w:cs="Times New Roman"/>
                      <w:color w:val="auto"/>
                      <w:sz w:val="21"/>
                      <w:szCs w:val="21"/>
                      <w:lang w:eastAsia="zh-CN"/>
                    </w:rPr>
                    <w:t>业</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continue"/>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b/>
                      <w:color w:val="auto"/>
                      <w:kern w:val="0"/>
                      <w:sz w:val="21"/>
                      <w:szCs w:val="21"/>
                      <w:vertAlign w:val="baseline"/>
                      <w:lang w:val="en-US" w:eastAsia="zh-CN" w:bidi="ar"/>
                    </w:rPr>
                  </w:pPr>
                </w:p>
              </w:tc>
              <w:tc>
                <w:tcPr>
                  <w:tcW w:w="2266"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color w:val="auto"/>
                      <w:sz w:val="21"/>
                      <w:szCs w:val="21"/>
                      <w:lang w:eastAsia="zh-CN"/>
                    </w:rPr>
                    <w:t>（二）废塑料综合利用企业所涉及的热塑性废塑料原料，不包括受到危险化学品、农药等污染的</w:t>
                  </w:r>
                  <w:r>
                    <w:rPr>
                      <w:rFonts w:hint="default" w:ascii="Times New Roman" w:hAnsi="Times New Roman" w:eastAsia="宋体" w:cs="Times New Roman"/>
                      <w:color w:val="auto"/>
                      <w:sz w:val="21"/>
                      <w:szCs w:val="21"/>
                    </w:rPr>
                    <w:t>废弃塑料包装物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废弃一次性医疗用塑料制品等</w:t>
                  </w:r>
                  <w:r>
                    <w:rPr>
                      <w:rFonts w:hint="default" w:ascii="Times New Roman" w:hAnsi="Times New Roman" w:eastAsia="宋体" w:cs="Times New Roman"/>
                      <w:color w:val="auto"/>
                      <w:sz w:val="21"/>
                      <w:szCs w:val="21"/>
                      <w:lang w:eastAsia="zh-CN"/>
                    </w:rPr>
                    <w:t>塑料类危险废物</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以及氟塑料等特种工程塑料</w:t>
                  </w:r>
                  <w:r>
                    <w:rPr>
                      <w:rFonts w:hint="default" w:ascii="Times New Roman" w:hAnsi="Times New Roman" w:eastAsia="宋体" w:cs="Times New Roman"/>
                      <w:color w:val="auto"/>
                      <w:sz w:val="21"/>
                      <w:szCs w:val="21"/>
                    </w:rPr>
                    <w:t>。</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color w:val="auto"/>
                      <w:sz w:val="21"/>
                      <w:szCs w:val="21"/>
                      <w:lang w:eastAsia="zh-CN"/>
                    </w:rPr>
                    <w:t>企</w:t>
                  </w:r>
                  <w:r>
                    <w:rPr>
                      <w:rFonts w:hint="eastAsia" w:ascii="Times New Roman" w:hAnsi="Times New Roman" w:eastAsia="宋体" w:cs="Times New Roman"/>
                      <w:color w:val="auto"/>
                      <w:sz w:val="21"/>
                      <w:szCs w:val="21"/>
                      <w:lang w:eastAsia="zh-CN"/>
                    </w:rPr>
                    <w:t>业</w:t>
                  </w:r>
                  <w:r>
                    <w:rPr>
                      <w:rFonts w:hint="eastAsia" w:ascii="宋体" w:hAnsi="宋体" w:eastAsia="宋体" w:cs="宋体"/>
                      <w:color w:val="auto"/>
                      <w:kern w:val="0"/>
                      <w:sz w:val="21"/>
                      <w:szCs w:val="21"/>
                      <w:lang w:val="en-US" w:eastAsia="zh-CN" w:bidi="ar"/>
                    </w:rPr>
                    <w:t>所涉及的废塑料原料，不包括受到危险化学品、农药等污染的废弃塑料包装物、废弃一次性医疗用塑料制品等塑料类危险废物，以及氟塑料等特种工程塑料。</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continue"/>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b/>
                      <w:color w:val="auto"/>
                      <w:kern w:val="0"/>
                      <w:sz w:val="21"/>
                      <w:szCs w:val="21"/>
                      <w:vertAlign w:val="baseline"/>
                      <w:lang w:val="en-US" w:eastAsia="zh-CN" w:bidi="ar"/>
                    </w:rPr>
                  </w:pPr>
                </w:p>
              </w:tc>
              <w:tc>
                <w:tcPr>
                  <w:tcW w:w="2266" w:type="pct"/>
                  <w:tcBorders>
                    <w:tl2br w:val="nil"/>
                    <w:tr2bl w:val="nil"/>
                  </w:tcBorders>
                  <w:noWrap w:val="0"/>
                  <w:vAlign w:val="top"/>
                </w:tcPr>
                <w:p>
                  <w:pPr>
                    <w:widowControl w:val="0"/>
                    <w:spacing w:line="240" w:lineRule="auto"/>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三</w:t>
                  </w: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lang w:eastAsia="zh-CN"/>
                    </w:rPr>
                    <w:t>及</w:t>
                  </w:r>
                  <w:r>
                    <w:rPr>
                      <w:rFonts w:hint="default" w:ascii="Times New Roman" w:hAnsi="Times New Roman" w:eastAsia="宋体" w:cs="Times New Roman"/>
                      <w:color w:val="auto"/>
                      <w:sz w:val="21"/>
                      <w:szCs w:val="21"/>
                    </w:rPr>
                    <w:t>改造、扩建</w:t>
                  </w:r>
                  <w:r>
                    <w:rPr>
                      <w:rFonts w:hint="default" w:ascii="Times New Roman" w:hAnsi="Times New Roman" w:eastAsia="宋体" w:cs="Times New Roman"/>
                      <w:color w:val="auto"/>
                      <w:sz w:val="21"/>
                      <w:szCs w:val="21"/>
                      <w:lang w:eastAsia="zh-CN"/>
                    </w:rPr>
                    <w:t>废塑料加工</w:t>
                  </w:r>
                  <w:r>
                    <w:rPr>
                      <w:rFonts w:hint="default" w:ascii="Times New Roman" w:hAnsi="Times New Roman" w:eastAsia="宋体" w:cs="Times New Roman"/>
                      <w:color w:val="auto"/>
                      <w:sz w:val="21"/>
                      <w:szCs w:val="21"/>
                    </w:rPr>
                    <w:t>企业应符合国家产业政策</w:t>
                  </w:r>
                  <w:r>
                    <w:rPr>
                      <w:rFonts w:hint="default" w:ascii="Times New Roman" w:hAnsi="Times New Roman" w:eastAsia="宋体" w:cs="Times New Roman"/>
                      <w:color w:val="auto"/>
                      <w:sz w:val="21"/>
                      <w:szCs w:val="21"/>
                      <w:lang w:eastAsia="zh-CN"/>
                    </w:rPr>
                    <w:t>及所在</w:t>
                  </w:r>
                  <w:r>
                    <w:rPr>
                      <w:rFonts w:hint="default" w:ascii="Times New Roman" w:hAnsi="Times New Roman" w:eastAsia="宋体" w:cs="Times New Roman"/>
                      <w:color w:val="auto"/>
                      <w:sz w:val="21"/>
                      <w:szCs w:val="21"/>
                    </w:rPr>
                    <w:t>地区土地利用总体规划、城乡建设规划</w:t>
                  </w:r>
                  <w:r>
                    <w:rPr>
                      <w:rFonts w:hint="default" w:ascii="Times New Roman" w:hAnsi="Times New Roman" w:eastAsia="宋体" w:cs="Times New Roman"/>
                      <w:color w:val="auto"/>
                      <w:sz w:val="21"/>
                      <w:szCs w:val="21"/>
                      <w:lang w:eastAsia="zh-CN"/>
                    </w:rPr>
                    <w:t>、环境保护、污染防治规划。</w:t>
                  </w:r>
                  <w:r>
                    <w:rPr>
                      <w:rFonts w:hint="default" w:ascii="Times New Roman" w:hAnsi="Times New Roman" w:eastAsia="宋体" w:cs="Times New Roman"/>
                      <w:color w:val="auto"/>
                      <w:sz w:val="21"/>
                      <w:szCs w:val="21"/>
                    </w:rPr>
                    <w:t>企业建设应有规范化设计要求</w:t>
                  </w:r>
                  <w:r>
                    <w:rPr>
                      <w:rFonts w:hint="default" w:ascii="Times New Roman" w:hAnsi="Times New Roman" w:eastAsia="宋体" w:cs="Times New Roman"/>
                      <w:color w:val="auto"/>
                      <w:sz w:val="21"/>
                      <w:szCs w:val="21"/>
                      <w:lang w:eastAsia="zh-CN"/>
                    </w:rPr>
                    <w:t>，采用节能环保技术及生产装备</w:t>
                  </w:r>
                  <w:r>
                    <w:rPr>
                      <w:rFonts w:hint="default" w:ascii="Times New Roman" w:hAnsi="Times New Roman" w:eastAsia="宋体" w:cs="Times New Roman"/>
                      <w:color w:val="auto"/>
                      <w:sz w:val="21"/>
                      <w:szCs w:val="21"/>
                    </w:rPr>
                    <w:t>。</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color w:val="auto"/>
                      <w:kern w:val="0"/>
                      <w:sz w:val="21"/>
                      <w:szCs w:val="21"/>
                      <w:vertAlign w:val="baseline"/>
                      <w:lang w:val="en-US" w:eastAsia="zh-CN" w:bidi="ar"/>
                    </w:rPr>
                  </w:pPr>
                  <w:r>
                    <w:rPr>
                      <w:rFonts w:hint="eastAsia" w:ascii="宋体" w:hAnsi="宋体" w:eastAsia="宋体" w:cs="宋体"/>
                      <w:color w:val="auto"/>
                      <w:kern w:val="0"/>
                      <w:sz w:val="21"/>
                      <w:szCs w:val="21"/>
                      <w:lang w:val="en-US" w:eastAsia="zh-CN" w:bidi="ar"/>
                    </w:rPr>
                    <w:t>本项目为技改项目，符合国家产业政策及园区规划。</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continue"/>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b/>
                      <w:color w:val="auto"/>
                      <w:kern w:val="0"/>
                      <w:sz w:val="21"/>
                      <w:szCs w:val="21"/>
                      <w:vertAlign w:val="baseline"/>
                      <w:lang w:val="en-US" w:eastAsia="zh-CN" w:bidi="ar"/>
                    </w:rPr>
                  </w:pPr>
                </w:p>
              </w:tc>
              <w:tc>
                <w:tcPr>
                  <w:tcW w:w="2266" w:type="pct"/>
                  <w:tcBorders>
                    <w:tl2br w:val="nil"/>
                    <w:tr2bl w:val="nil"/>
                  </w:tcBorders>
                  <w:noWrap w:val="0"/>
                  <w:vAlign w:val="top"/>
                </w:tcPr>
                <w:p>
                  <w:pPr>
                    <w:widowControl w:val="0"/>
                    <w:spacing w:line="240" w:lineRule="auto"/>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四</w:t>
                  </w:r>
                  <w:r>
                    <w:rPr>
                      <w:rFonts w:hint="default" w:ascii="Times New Roman" w:hAnsi="Times New Roman" w:eastAsia="宋体" w:cs="Times New Roman"/>
                      <w:color w:val="auto"/>
                      <w:sz w:val="21"/>
                      <w:szCs w:val="21"/>
                    </w:rPr>
                    <w:t>）在国家法律、法规、规章和规划确定或县级及以上人民政府规定的自然保护区、风景名胜区、饮用水源保护区、基本农田保护区和其他需要特别保护的区域内，不得新建废塑料综合利用企业</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已在上述区域投产运营的</w:t>
                  </w:r>
                  <w:r>
                    <w:rPr>
                      <w:rFonts w:hint="default" w:ascii="Times New Roman" w:hAnsi="Times New Roman" w:eastAsia="宋体" w:cs="Times New Roman"/>
                      <w:color w:val="auto"/>
                      <w:sz w:val="21"/>
                      <w:szCs w:val="21"/>
                      <w:lang w:eastAsia="zh-CN"/>
                    </w:rPr>
                    <w:t>废塑料综合利用</w:t>
                  </w:r>
                  <w:r>
                    <w:rPr>
                      <w:rFonts w:hint="default" w:ascii="Times New Roman" w:hAnsi="Times New Roman" w:eastAsia="宋体" w:cs="Times New Roman"/>
                      <w:color w:val="auto"/>
                      <w:sz w:val="21"/>
                      <w:szCs w:val="21"/>
                    </w:rPr>
                    <w:t>企业</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要根据该区域规划要求，依法通过搬迁、转产等方式逐步退出</w:t>
                  </w:r>
                  <w:r>
                    <w:rPr>
                      <w:rFonts w:hint="default" w:ascii="Times New Roman" w:hAnsi="Times New Roman" w:eastAsia="宋体" w:cs="Times New Roman"/>
                      <w:color w:val="auto"/>
                      <w:sz w:val="21"/>
                      <w:szCs w:val="21"/>
                    </w:rPr>
                    <w:t>。</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color w:val="auto"/>
                      <w:kern w:val="0"/>
                      <w:sz w:val="21"/>
                      <w:szCs w:val="21"/>
                      <w:vertAlign w:val="baseline"/>
                      <w:lang w:val="en-US" w:eastAsia="zh-CN" w:bidi="ar"/>
                    </w:rPr>
                  </w:pPr>
                  <w:r>
                    <w:rPr>
                      <w:rFonts w:hint="eastAsia" w:ascii="宋体" w:hAnsi="宋体" w:eastAsia="宋体" w:cs="宋体"/>
                      <w:color w:val="auto"/>
                      <w:kern w:val="0"/>
                      <w:sz w:val="21"/>
                      <w:szCs w:val="21"/>
                      <w:lang w:val="en-US" w:eastAsia="zh-CN" w:bidi="ar"/>
                    </w:rPr>
                    <w:t>本项目为技改项目，位于</w:t>
                  </w:r>
                  <w:r>
                    <w:rPr>
                      <w:rFonts w:hint="eastAsia" w:ascii="宋体" w:eastAsia="宋体" w:cs="Times New Roman"/>
                      <w:bCs/>
                      <w:color w:val="auto"/>
                      <w:sz w:val="21"/>
                      <w:szCs w:val="21"/>
                    </w:rPr>
                    <w:t>舞雩镇</w:t>
                  </w:r>
                  <w:r>
                    <w:rPr>
                      <w:rFonts w:ascii="宋体" w:eastAsia="宋体" w:cs="Times New Roman"/>
                      <w:bCs/>
                      <w:color w:val="auto"/>
                      <w:sz w:val="21"/>
                      <w:szCs w:val="21"/>
                    </w:rPr>
                    <w:t>石马坝工业园区内</w:t>
                  </w:r>
                  <w:r>
                    <w:rPr>
                      <w:rFonts w:hint="eastAsia" w:ascii="宋体" w:hAnsi="宋体" w:eastAsia="宋体" w:cs="宋体"/>
                      <w:color w:val="auto"/>
                      <w:kern w:val="0"/>
                      <w:sz w:val="21"/>
                      <w:szCs w:val="21"/>
                      <w:lang w:val="en-US" w:eastAsia="zh-CN" w:bidi="ar"/>
                    </w:rPr>
                    <w:t>，项目不在自然保护区、风景名胜区、饮用水源保护区、基本农田保护区和其他需要特别保护</w:t>
                  </w:r>
                  <w:r>
                    <w:rPr>
                      <w:rFonts w:hint="default" w:ascii="Times New Roman" w:hAnsi="Times New Roman" w:eastAsia="宋体" w:cs="Times New Roman"/>
                      <w:color w:val="auto"/>
                      <w:sz w:val="21"/>
                      <w:szCs w:val="21"/>
                    </w:rPr>
                    <w:t>的区域内</w:t>
                  </w:r>
                  <w:r>
                    <w:rPr>
                      <w:rFonts w:hint="eastAsia" w:ascii="宋体" w:hAnsi="宋体" w:eastAsia="宋体" w:cs="宋体"/>
                      <w:color w:val="auto"/>
                      <w:kern w:val="0"/>
                      <w:sz w:val="21"/>
                      <w:szCs w:val="21"/>
                      <w:lang w:val="en-US" w:eastAsia="zh-CN" w:bidi="ar"/>
                    </w:rPr>
                    <w:t>。</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二、生产经营规模</w:t>
                  </w:r>
                </w:p>
              </w:tc>
              <w:tc>
                <w:tcPr>
                  <w:tcW w:w="2266" w:type="pc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color w:val="auto"/>
                      <w:sz w:val="21"/>
                      <w:szCs w:val="21"/>
                      <w:lang w:eastAsia="zh-CN"/>
                    </w:rPr>
                    <w:t>塑料</w:t>
                  </w:r>
                  <w:r>
                    <w:rPr>
                      <w:rFonts w:hint="eastAsia" w:ascii="Times New Roman" w:hAnsi="Times New Roman" w:eastAsia="宋体" w:cs="Times New Roman"/>
                      <w:color w:val="auto"/>
                      <w:sz w:val="21"/>
                      <w:szCs w:val="21"/>
                      <w:lang w:val="en-US" w:eastAsia="zh-CN"/>
                    </w:rPr>
                    <w:t>再生造粒</w:t>
                  </w:r>
                  <w:r>
                    <w:rPr>
                      <w:rFonts w:hint="default" w:ascii="Times New Roman" w:hAnsi="Times New Roman" w:eastAsia="宋体" w:cs="Times New Roman"/>
                      <w:color w:val="auto"/>
                      <w:sz w:val="21"/>
                      <w:szCs w:val="21"/>
                      <w:lang w:eastAsia="zh-CN"/>
                    </w:rPr>
                    <w:t>类企业：</w:t>
                  </w: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lang w:eastAsia="zh-CN"/>
                    </w:rPr>
                    <w:t>企业</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eastAsia="zh-CN"/>
                    </w:rPr>
                    <w:t>废塑料处理</w:t>
                  </w:r>
                  <w:r>
                    <w:rPr>
                      <w:rFonts w:hint="default" w:ascii="Times New Roman" w:hAnsi="Times New Roman" w:eastAsia="宋体" w:cs="Times New Roman"/>
                      <w:color w:val="auto"/>
                      <w:sz w:val="21"/>
                      <w:szCs w:val="21"/>
                    </w:rPr>
                    <w:t>能力</w:t>
                  </w:r>
                  <w:r>
                    <w:rPr>
                      <w:rFonts w:hint="default" w:ascii="Times New Roman" w:hAnsi="Times New Roman" w:eastAsia="宋体" w:cs="Times New Roman"/>
                      <w:color w:val="auto"/>
                      <w:sz w:val="21"/>
                      <w:szCs w:val="21"/>
                      <w:lang w:eastAsia="zh-CN"/>
                    </w:rPr>
                    <w:t>不低于</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000</w:t>
                  </w:r>
                  <w:r>
                    <w:rPr>
                      <w:rFonts w:hint="default" w:ascii="Times New Roman" w:hAnsi="Times New Roman" w:eastAsia="宋体" w:cs="Times New Roman"/>
                      <w:color w:val="auto"/>
                      <w:sz w:val="21"/>
                      <w:szCs w:val="21"/>
                    </w:rPr>
                    <w:t>吨；</w:t>
                  </w:r>
                </w:p>
              </w:tc>
              <w:tc>
                <w:tcPr>
                  <w:tcW w:w="1681" w:type="pct"/>
                  <w:tcBorders>
                    <w:tl2br w:val="nil"/>
                    <w:tr2bl w:val="nil"/>
                  </w:tcBorders>
                  <w:noWrap w:val="0"/>
                  <w:vAlign w:val="top"/>
                </w:tcPr>
                <w:p>
                  <w:pPr>
                    <w:keepNext w:val="0"/>
                    <w:keepLines w:val="0"/>
                    <w:widowControl/>
                    <w:suppressLineNumbers w:val="0"/>
                    <w:jc w:val="left"/>
                    <w:rPr>
                      <w:rFonts w:hint="default" w:ascii="Times New Roman" w:hAnsi="Times New Roman" w:eastAsia="宋体" w:cs="Times New Roman"/>
                      <w:b/>
                      <w:color w:val="auto"/>
                      <w:kern w:val="0"/>
                      <w:sz w:val="21"/>
                      <w:szCs w:val="21"/>
                      <w:vertAlign w:val="baseline"/>
                      <w:lang w:val="en-US" w:eastAsia="zh-CN" w:bidi="ar"/>
                    </w:rPr>
                  </w:pPr>
                  <w:r>
                    <w:rPr>
                      <w:rFonts w:hint="eastAsia" w:ascii="宋体" w:hAnsi="宋体" w:eastAsia="宋体" w:cs="宋体"/>
                      <w:color w:val="auto"/>
                      <w:kern w:val="0"/>
                      <w:sz w:val="21"/>
                      <w:szCs w:val="21"/>
                      <w:lang w:val="en-US" w:eastAsia="zh-CN" w:bidi="ar"/>
                    </w:rPr>
                    <w:t>本项目技改后为年废塑料处理能力为</w:t>
                  </w:r>
                  <w:r>
                    <w:rPr>
                      <w:rFonts w:hint="eastAsia" w:ascii="TimesNewRomanPSMT" w:hAnsi="TimesNewRomanPSMT" w:eastAsia="TimesNewRomanPSMT" w:cs="TimesNewRomanPSMT"/>
                      <w:color w:val="auto"/>
                      <w:kern w:val="0"/>
                      <w:sz w:val="21"/>
                      <w:szCs w:val="21"/>
                      <w:lang w:val="en-US" w:eastAsia="zh-CN" w:bidi="ar"/>
                    </w:rPr>
                    <w:t>15000</w:t>
                  </w:r>
                  <w:r>
                    <w:rPr>
                      <w:rFonts w:hint="eastAsia" w:ascii="宋体" w:hAnsi="宋体" w:eastAsia="宋体" w:cs="宋体"/>
                      <w:color w:val="auto"/>
                      <w:kern w:val="0"/>
                      <w:sz w:val="21"/>
                      <w:szCs w:val="21"/>
                      <w:lang w:val="en-US" w:eastAsia="zh-CN" w:bidi="ar"/>
                    </w:rPr>
                    <w:t>吨。</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restar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能源消耗和资源综合利用</w:t>
                  </w:r>
                </w:p>
              </w:tc>
              <w:tc>
                <w:tcPr>
                  <w:tcW w:w="2266" w:type="pc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十</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塑料再生加工相关生产环节的</w:t>
                  </w:r>
                  <w:r>
                    <w:rPr>
                      <w:rFonts w:hint="default" w:ascii="Times New Roman" w:hAnsi="Times New Roman" w:eastAsia="宋体" w:cs="Times New Roman"/>
                      <w:color w:val="auto"/>
                      <w:sz w:val="21"/>
                      <w:szCs w:val="21"/>
                    </w:rPr>
                    <w:t>综合电耗低于</w:t>
                  </w:r>
                  <w:r>
                    <w:rPr>
                      <w:rFonts w:hint="default"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sz w:val="21"/>
                      <w:szCs w:val="21"/>
                    </w:rPr>
                    <w:t>千瓦时/吨废</w:t>
                  </w:r>
                  <w:r>
                    <w:rPr>
                      <w:rFonts w:hint="default" w:ascii="Times New Roman" w:hAnsi="Times New Roman" w:eastAsia="宋体" w:cs="Times New Roman"/>
                      <w:color w:val="auto"/>
                      <w:sz w:val="21"/>
                      <w:szCs w:val="21"/>
                      <w:lang w:eastAsia="zh-CN"/>
                    </w:rPr>
                    <w:t>塑料。</w:t>
                  </w:r>
                </w:p>
              </w:tc>
              <w:tc>
                <w:tcPr>
                  <w:tcW w:w="1681" w:type="pct"/>
                  <w:tcBorders>
                    <w:tl2br w:val="nil"/>
                    <w:tr2bl w:val="nil"/>
                  </w:tcBorders>
                  <w:noWrap w:val="0"/>
                  <w:vAlign w:val="top"/>
                </w:tcPr>
                <w:p>
                  <w:pPr>
                    <w:keepNext w:val="0"/>
                    <w:keepLines w:val="0"/>
                    <w:widowControl/>
                    <w:suppressLineNumbers w:val="0"/>
                    <w:jc w:val="left"/>
                    <w:rPr>
                      <w:rFonts w:hint="default" w:ascii="Times New Roman" w:hAnsi="Times New Roman" w:eastAsia="宋体" w:cs="Times New Roman"/>
                      <w:b/>
                      <w:color w:val="auto"/>
                      <w:kern w:val="0"/>
                      <w:sz w:val="21"/>
                      <w:szCs w:val="21"/>
                      <w:vertAlign w:val="baseline"/>
                      <w:lang w:val="en-US" w:eastAsia="zh-CN" w:bidi="ar"/>
                    </w:rPr>
                  </w:pPr>
                  <w:r>
                    <w:rPr>
                      <w:rFonts w:hint="eastAsia" w:ascii="宋体" w:hAnsi="宋体" w:eastAsia="宋体" w:cs="宋体"/>
                      <w:color w:val="auto"/>
                      <w:kern w:val="0"/>
                      <w:sz w:val="21"/>
                      <w:szCs w:val="21"/>
                      <w:lang w:val="en-US" w:eastAsia="zh-CN" w:bidi="ar"/>
                    </w:rPr>
                    <w:t>本项目塑料再生加工相关生产环节的综合电耗</w:t>
                  </w:r>
                  <w:r>
                    <w:rPr>
                      <w:rFonts w:hint="eastAsia" w:ascii="TimesNewRomanPSMT" w:hAnsi="TimesNewRomanPSMT" w:eastAsia="TimesNewRomanPSMT" w:cs="TimesNewRomanPSMT"/>
                      <w:color w:val="auto"/>
                      <w:kern w:val="0"/>
                      <w:sz w:val="21"/>
                      <w:szCs w:val="21"/>
                      <w:lang w:val="en-US" w:eastAsia="zh-CN" w:bidi="ar"/>
                    </w:rPr>
                    <w:t>15</w:t>
                  </w:r>
                  <w:r>
                    <w:rPr>
                      <w:rFonts w:hint="eastAsia" w:ascii="宋体" w:hAnsi="宋体" w:eastAsia="宋体" w:cs="宋体"/>
                      <w:color w:val="auto"/>
                      <w:kern w:val="0"/>
                      <w:sz w:val="21"/>
                      <w:szCs w:val="21"/>
                      <w:lang w:val="en-US" w:eastAsia="zh-CN" w:bidi="ar"/>
                    </w:rPr>
                    <w:t>千瓦时</w:t>
                  </w:r>
                  <w:r>
                    <w:rPr>
                      <w:rFonts w:hint="default" w:ascii="TimesNewRomanPSMT" w:hAnsi="TimesNewRomanPSMT" w:eastAsia="TimesNewRomanPSMT" w:cs="TimesNewRomanPSMT"/>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吨废塑料。</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continue"/>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b/>
                      <w:color w:val="auto"/>
                      <w:kern w:val="0"/>
                      <w:sz w:val="21"/>
                      <w:szCs w:val="21"/>
                      <w:vertAlign w:val="baseline"/>
                      <w:lang w:val="en-US" w:eastAsia="zh-CN" w:bidi="ar"/>
                    </w:rPr>
                  </w:pPr>
                </w:p>
              </w:tc>
              <w:tc>
                <w:tcPr>
                  <w:tcW w:w="2266" w:type="pct"/>
                  <w:tcBorders>
                    <w:tl2br w:val="nil"/>
                    <w:tr2bl w:val="nil"/>
                  </w:tcBorders>
                  <w:noWrap w:val="0"/>
                  <w:vAlign w:val="top"/>
                </w:tcPr>
                <w:p>
                  <w:pPr>
                    <w:widowControl w:val="0"/>
                    <w:spacing w:line="240" w:lineRule="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eastAsia="zh-CN"/>
                    </w:rPr>
                    <w:t>（十一）PET再生瓶片类企业与废塑料破碎、清洗、分选类企业的综合</w:t>
                  </w:r>
                  <w:r>
                    <w:rPr>
                      <w:rFonts w:hint="default" w:ascii="Times New Roman" w:hAnsi="Times New Roman" w:eastAsia="宋体" w:cs="Times New Roman"/>
                      <w:color w:val="auto"/>
                      <w:sz w:val="21"/>
                      <w:szCs w:val="21"/>
                    </w:rPr>
                    <w:t>新水消耗低于</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吨/吨废</w:t>
                  </w:r>
                  <w:r>
                    <w:rPr>
                      <w:rFonts w:hint="default" w:ascii="Times New Roman" w:hAnsi="Times New Roman" w:eastAsia="宋体" w:cs="Times New Roman"/>
                      <w:color w:val="auto"/>
                      <w:sz w:val="21"/>
                      <w:szCs w:val="21"/>
                      <w:lang w:eastAsia="zh-CN"/>
                    </w:rPr>
                    <w:t>塑料</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塑料再生造粒类企业的综合</w:t>
                  </w:r>
                  <w:r>
                    <w:rPr>
                      <w:rFonts w:hint="default" w:ascii="Times New Roman" w:hAnsi="Times New Roman" w:eastAsia="宋体" w:cs="Times New Roman"/>
                      <w:color w:val="auto"/>
                      <w:sz w:val="21"/>
                      <w:szCs w:val="21"/>
                    </w:rPr>
                    <w:t>新水消耗低于</w:t>
                  </w:r>
                  <w:r>
                    <w:rPr>
                      <w:rFonts w:hint="default" w:ascii="Times New Roman" w:hAnsi="Times New Roman" w:eastAsia="宋体" w:cs="Times New Roman"/>
                      <w:color w:val="auto"/>
                      <w:sz w:val="21"/>
                      <w:szCs w:val="21"/>
                      <w:lang w:val="en-US" w:eastAsia="zh-CN"/>
                    </w:rPr>
                    <w:t>0.2</w:t>
                  </w:r>
                  <w:r>
                    <w:rPr>
                      <w:rFonts w:hint="default" w:ascii="Times New Roman" w:hAnsi="Times New Roman" w:eastAsia="宋体" w:cs="Times New Roman"/>
                      <w:color w:val="auto"/>
                      <w:sz w:val="21"/>
                      <w:szCs w:val="21"/>
                    </w:rPr>
                    <w:t>吨/吨废</w:t>
                  </w:r>
                  <w:r>
                    <w:rPr>
                      <w:rFonts w:hint="default" w:ascii="Times New Roman" w:hAnsi="Times New Roman" w:eastAsia="宋体" w:cs="Times New Roman"/>
                      <w:color w:val="auto"/>
                      <w:sz w:val="21"/>
                      <w:szCs w:val="21"/>
                      <w:lang w:eastAsia="zh-CN"/>
                    </w:rPr>
                    <w:t>塑料</w:t>
                  </w:r>
                  <w:r>
                    <w:rPr>
                      <w:rFonts w:hint="default" w:ascii="Times New Roman" w:hAnsi="Times New Roman" w:eastAsia="宋体" w:cs="Times New Roman"/>
                      <w:color w:val="auto"/>
                      <w:sz w:val="21"/>
                      <w:szCs w:val="21"/>
                    </w:rPr>
                    <w:t>。</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本项目耗水主要为员工生活用水及生产冷却用水，</w:t>
                  </w:r>
                  <w:r>
                    <w:rPr>
                      <w:rFonts w:hint="eastAsia" w:ascii="Times New Roman" w:hAnsi="Times New Roman" w:eastAsia="宋体" w:cs="Times New Roman"/>
                      <w:color w:val="auto"/>
                      <w:kern w:val="0"/>
                      <w:sz w:val="21"/>
                      <w:szCs w:val="21"/>
                      <w:lang w:val="en-US" w:eastAsia="zh-CN" w:bidi="ar"/>
                    </w:rPr>
                    <w:t>综合新水消</w:t>
                  </w:r>
                  <w:r>
                    <w:rPr>
                      <w:rFonts w:hint="default" w:ascii="Times New Roman" w:hAnsi="Times New Roman" w:eastAsia="宋体" w:cs="Times New Roman"/>
                      <w:color w:val="auto"/>
                      <w:kern w:val="0"/>
                      <w:sz w:val="21"/>
                      <w:szCs w:val="21"/>
                      <w:lang w:val="en-US" w:eastAsia="zh-CN" w:bidi="ar"/>
                    </w:rPr>
                    <w:t>耗为0.00</w:t>
                  </w:r>
                  <w:r>
                    <w:rPr>
                      <w:rFonts w:hint="eastAsia" w:ascii="Times New Roman" w:hAnsi="Times New Roman" w:eastAsia="宋体" w:cs="Times New Roman"/>
                      <w:color w:val="auto"/>
                      <w:kern w:val="0"/>
                      <w:sz w:val="21"/>
                      <w:szCs w:val="21"/>
                      <w:lang w:val="en-US" w:eastAsia="zh-CN" w:bidi="ar"/>
                    </w:rPr>
                    <w:t>02</w:t>
                  </w:r>
                  <w:r>
                    <w:rPr>
                      <w:rFonts w:hint="default" w:ascii="Times New Roman" w:hAnsi="Times New Roman" w:eastAsia="宋体" w:cs="Times New Roman"/>
                      <w:color w:val="auto"/>
                      <w:kern w:val="0"/>
                      <w:sz w:val="21"/>
                      <w:szCs w:val="21"/>
                      <w:lang w:val="en-US" w:eastAsia="zh-CN" w:bidi="ar"/>
                    </w:rPr>
                    <w:t>吨/</w:t>
                  </w:r>
                  <w:r>
                    <w:rPr>
                      <w:rFonts w:hint="default" w:ascii="Times New Roman" w:hAnsi="Times New Roman" w:eastAsia="宋体" w:cs="Times New Roman"/>
                      <w:color w:val="auto"/>
                      <w:sz w:val="21"/>
                      <w:szCs w:val="21"/>
                    </w:rPr>
                    <w:t>吨废</w:t>
                  </w:r>
                  <w:r>
                    <w:rPr>
                      <w:rFonts w:hint="default" w:ascii="Times New Roman" w:hAnsi="Times New Roman" w:eastAsia="宋体" w:cs="Times New Roman"/>
                      <w:color w:val="auto"/>
                      <w:sz w:val="21"/>
                      <w:szCs w:val="21"/>
                      <w:lang w:eastAsia="zh-CN"/>
                    </w:rPr>
                    <w:t>塑料</w:t>
                  </w:r>
                  <w:r>
                    <w:rPr>
                      <w:rFonts w:hint="default" w:ascii="Times New Roman" w:hAnsi="Times New Roman" w:eastAsia="宋体" w:cs="Times New Roman"/>
                      <w:color w:val="auto"/>
                      <w:kern w:val="0"/>
                      <w:sz w:val="21"/>
                      <w:szCs w:val="21"/>
                      <w:lang w:val="en-US" w:eastAsia="zh-CN" w:bidi="ar"/>
                    </w:rPr>
                    <w:t>。</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color w:val="auto"/>
                      <w:sz w:val="21"/>
                      <w:szCs w:val="21"/>
                      <w:lang w:eastAsia="zh-CN"/>
                    </w:rPr>
                    <w:t>工艺与装备</w:t>
                  </w:r>
                </w:p>
              </w:tc>
              <w:tc>
                <w:tcPr>
                  <w:tcW w:w="2266" w:type="pc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eastAsia="zh-CN"/>
                    </w:rPr>
                    <w:t>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1681" w:type="pct"/>
                  <w:tcBorders>
                    <w:tl2br w:val="nil"/>
                    <w:tr2bl w:val="nil"/>
                  </w:tcBorders>
                  <w:noWrap w:val="0"/>
                  <w:vAlign w:val="top"/>
                </w:tcPr>
                <w:p>
                  <w:pPr>
                    <w:keepNext w:val="0"/>
                    <w:keepLines w:val="0"/>
                    <w:widowControl/>
                    <w:suppressLineNumbers w:val="0"/>
                    <w:jc w:val="left"/>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lang w:eastAsia="zh-CN"/>
                    </w:rPr>
                    <w:t>具有与加工利用能力相适应的预处理设备和造粒设备。其中，造粒</w:t>
                  </w:r>
                  <w:r>
                    <w:rPr>
                      <w:rFonts w:hint="eastAsia" w:ascii="Times New Roman" w:hAnsi="Times New Roman" w:eastAsia="宋体" w:cs="Times New Roman"/>
                      <w:color w:val="auto"/>
                      <w:sz w:val="21"/>
                      <w:szCs w:val="21"/>
                      <w:lang w:val="en-US" w:eastAsia="zh-CN"/>
                    </w:rPr>
                    <w:t>废气</w:t>
                  </w:r>
                  <w:r>
                    <w:rPr>
                      <w:rFonts w:hint="eastAsia" w:ascii="Times New Roman" w:hAnsi="Times New Roman"/>
                      <w:bCs/>
                      <w:color w:val="auto"/>
                      <w:sz w:val="21"/>
                      <w:szCs w:val="21"/>
                      <w:lang w:val="en-US" w:eastAsia="zh-CN"/>
                    </w:rPr>
                    <w:t>通过</w:t>
                  </w:r>
                  <w:r>
                    <w:rPr>
                      <w:rFonts w:ascii="Times New Roman" w:hAnsi="Times New Roman"/>
                      <w:bCs/>
                      <w:color w:val="auto"/>
                      <w:sz w:val="21"/>
                      <w:szCs w:val="21"/>
                    </w:rPr>
                    <w:t>布袋除尘器+水膜+喷淋塔+UV光解+低温等离子</w:t>
                  </w:r>
                  <w:r>
                    <w:rPr>
                      <w:rFonts w:hint="eastAsia" w:ascii="Times New Roman" w:hAnsi="Times New Roman"/>
                      <w:bCs/>
                      <w:color w:val="auto"/>
                      <w:sz w:val="21"/>
                      <w:szCs w:val="21"/>
                      <w:lang w:val="en-US" w:eastAsia="zh-CN"/>
                    </w:rPr>
                    <w:t>+</w:t>
                  </w:r>
                  <w:r>
                    <w:rPr>
                      <w:rFonts w:hint="eastAsia"/>
                      <w:bCs/>
                      <w:color w:val="auto"/>
                      <w:sz w:val="21"/>
                      <w:szCs w:val="21"/>
                    </w:rPr>
                    <w:t>二级活性炭吸附处理</w:t>
                  </w:r>
                  <w:r>
                    <w:rPr>
                      <w:rFonts w:hint="eastAsia"/>
                      <w:bCs/>
                      <w:color w:val="auto"/>
                      <w:sz w:val="21"/>
                      <w:szCs w:val="21"/>
                      <w:lang w:val="en-US" w:eastAsia="zh-CN"/>
                    </w:rPr>
                    <w:t>后通过15m排气筒排放。</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restar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环境保护</w:t>
                  </w:r>
                </w:p>
              </w:tc>
              <w:tc>
                <w:tcPr>
                  <w:tcW w:w="2266" w:type="pc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十四</w:t>
                  </w:r>
                  <w:r>
                    <w:rPr>
                      <w:rFonts w:hint="default" w:ascii="Times New Roman" w:hAnsi="Times New Roman" w:eastAsia="宋体" w:cs="Times New Roman"/>
                      <w:color w:val="auto"/>
                      <w:sz w:val="21"/>
                      <w:szCs w:val="21"/>
                    </w:rPr>
                    <w:t>）废塑料综合利用企业应严格执行</w:t>
                  </w:r>
                  <w:r>
                    <w:rPr>
                      <w:rFonts w:hint="default" w:ascii="Times New Roman" w:hAnsi="Times New Roman" w:eastAsia="宋体" w:cs="Times New Roman"/>
                      <w:color w:val="auto"/>
                      <w:sz w:val="21"/>
                      <w:szCs w:val="21"/>
                      <w:lang w:eastAsia="zh-CN"/>
                    </w:rPr>
                    <w:t>《中华人民共和国</w:t>
                  </w:r>
                  <w:r>
                    <w:rPr>
                      <w:rFonts w:hint="default" w:ascii="Times New Roman" w:hAnsi="Times New Roman" w:eastAsia="宋体" w:cs="Times New Roman"/>
                      <w:color w:val="auto"/>
                      <w:sz w:val="21"/>
                      <w:szCs w:val="21"/>
                    </w:rPr>
                    <w:t>环境影响评价</w:t>
                  </w:r>
                  <w:r>
                    <w:rPr>
                      <w:rFonts w:hint="default" w:ascii="Times New Roman" w:hAnsi="Times New Roman" w:eastAsia="宋体" w:cs="Times New Roman"/>
                      <w:color w:val="auto"/>
                      <w:sz w:val="21"/>
                      <w:szCs w:val="21"/>
                      <w:lang w:eastAsia="zh-CN"/>
                    </w:rPr>
                    <w:t>法》</w:t>
                  </w:r>
                  <w:r>
                    <w:rPr>
                      <w:rFonts w:hint="default" w:ascii="Times New Roman" w:hAnsi="Times New Roman" w:eastAsia="宋体" w:cs="Times New Roman"/>
                      <w:color w:val="auto"/>
                      <w:sz w:val="21"/>
                      <w:szCs w:val="21"/>
                    </w:rPr>
                    <w:t>，按照环境保护主管部门的相关规定报批环境影响评价文件。按照环境保护“三同时</w:t>
                  </w:r>
                  <w:r>
                    <w:rPr>
                      <w:rFonts w:hint="default" w:ascii="Times New Roman" w:hAnsi="Times New Roman" w:eastAsia="宋体" w:cs="Times New Roman"/>
                      <w:color w:val="auto"/>
                      <w:sz w:val="21"/>
                      <w:szCs w:val="21"/>
                      <w:lang w:eastAsia="zh-CN"/>
                    </w:rPr>
                    <w:t>”的要求建设配套的环境保护设施，编制环境风险应急预案，并依法申请项目竣工环境保护验收。</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rPr>
                    <w:t>严格执行</w:t>
                  </w:r>
                  <w:r>
                    <w:rPr>
                      <w:rFonts w:hint="default" w:ascii="Times New Roman" w:hAnsi="Times New Roman" w:eastAsia="宋体" w:cs="Times New Roman"/>
                      <w:color w:val="auto"/>
                      <w:sz w:val="21"/>
                      <w:szCs w:val="21"/>
                      <w:lang w:eastAsia="zh-CN"/>
                    </w:rPr>
                    <w:t>《中华人民共和国</w:t>
                  </w:r>
                  <w:r>
                    <w:rPr>
                      <w:rFonts w:hint="default" w:ascii="Times New Roman" w:hAnsi="Times New Roman" w:eastAsia="宋体" w:cs="Times New Roman"/>
                      <w:color w:val="auto"/>
                      <w:sz w:val="21"/>
                      <w:szCs w:val="21"/>
                    </w:rPr>
                    <w:t>环境影响评价</w:t>
                  </w:r>
                  <w:r>
                    <w:rPr>
                      <w:rFonts w:hint="default" w:ascii="Times New Roman" w:hAnsi="Times New Roman" w:eastAsia="宋体" w:cs="Times New Roman"/>
                      <w:color w:val="auto"/>
                      <w:sz w:val="21"/>
                      <w:szCs w:val="21"/>
                      <w:lang w:eastAsia="zh-CN"/>
                    </w:rPr>
                    <w:t>法》</w:t>
                  </w:r>
                  <w:r>
                    <w:rPr>
                      <w:rFonts w:hint="default" w:ascii="Times New Roman" w:hAnsi="Times New Roman" w:eastAsia="宋体" w:cs="Times New Roman"/>
                      <w:color w:val="auto"/>
                      <w:sz w:val="21"/>
                      <w:szCs w:val="21"/>
                    </w:rPr>
                    <w:t>，按照环境保护主管部门的相关规定报批环境影响评价文件。按照环境保护“三同时</w:t>
                  </w:r>
                  <w:r>
                    <w:rPr>
                      <w:rFonts w:hint="default" w:ascii="Times New Roman" w:hAnsi="Times New Roman" w:eastAsia="宋体" w:cs="Times New Roman"/>
                      <w:color w:val="auto"/>
                      <w:sz w:val="21"/>
                      <w:szCs w:val="21"/>
                      <w:lang w:eastAsia="zh-CN"/>
                    </w:rPr>
                    <w:t>”的要求建设配套的环境保护设施，编制环境风险应急预案，并依法申请项目竣工环境保护验收。</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continue"/>
                  <w:tcBorders>
                    <w:tl2br w:val="nil"/>
                    <w:tr2bl w:val="nil"/>
                  </w:tcBorders>
                  <w:noWrap w:val="0"/>
                  <w:vAlign w:val="top"/>
                </w:tcPr>
                <w:p>
                  <w:pPr>
                    <w:keepNext w:val="0"/>
                    <w:keepLines w:val="0"/>
                    <w:widowControl/>
                    <w:suppressLineNumbers w:val="0"/>
                    <w:spacing w:line="360" w:lineRule="auto"/>
                    <w:jc w:val="both"/>
                    <w:rPr>
                      <w:rFonts w:hint="default" w:ascii="Times New Roman" w:hAnsi="Times New Roman" w:eastAsia="宋体" w:cs="Times New Roman"/>
                      <w:b/>
                      <w:color w:val="auto"/>
                      <w:kern w:val="0"/>
                      <w:sz w:val="21"/>
                      <w:szCs w:val="21"/>
                      <w:vertAlign w:val="baseline"/>
                      <w:lang w:val="en-US" w:eastAsia="zh-CN" w:bidi="ar"/>
                    </w:rPr>
                  </w:pPr>
                </w:p>
              </w:tc>
              <w:tc>
                <w:tcPr>
                  <w:tcW w:w="2266" w:type="pct"/>
                  <w:tcBorders>
                    <w:tl2br w:val="nil"/>
                    <w:tr2bl w:val="nil"/>
                  </w:tcBorders>
                  <w:noWrap w:val="0"/>
                  <w:vAlign w:val="top"/>
                </w:tcPr>
                <w:p>
                  <w:pPr>
                    <w:widowControl w:val="0"/>
                    <w:spacing w:line="240" w:lineRule="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eastAsia="zh-CN"/>
                    </w:rPr>
                    <w:t>（十五）企业加工存储场地应建有围墙，在园区内的企业可为单独厂房，地面全部硬化且无明显破损现象。</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lang w:eastAsia="zh-CN"/>
                    </w:rPr>
                    <w:t>加工存储场地为单独厂房，地面全部硬化且无明显破损现象。</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continue"/>
                  <w:tcBorders>
                    <w:tl2br w:val="nil"/>
                    <w:tr2bl w:val="nil"/>
                  </w:tcBorders>
                  <w:noWrap w:val="0"/>
                  <w:vAlign w:val="top"/>
                </w:tcPr>
                <w:p>
                  <w:pPr>
                    <w:keepNext w:val="0"/>
                    <w:keepLines w:val="0"/>
                    <w:widowControl/>
                    <w:suppressLineNumbers w:val="0"/>
                    <w:spacing w:line="360" w:lineRule="auto"/>
                    <w:jc w:val="both"/>
                    <w:rPr>
                      <w:rFonts w:hint="default" w:ascii="Times New Roman" w:hAnsi="Times New Roman" w:eastAsia="宋体" w:cs="Times New Roman"/>
                      <w:b/>
                      <w:color w:val="auto"/>
                      <w:kern w:val="0"/>
                      <w:sz w:val="21"/>
                      <w:szCs w:val="21"/>
                      <w:vertAlign w:val="baseline"/>
                      <w:lang w:val="en-US" w:eastAsia="zh-CN" w:bidi="ar"/>
                    </w:rPr>
                  </w:pPr>
                </w:p>
              </w:tc>
              <w:tc>
                <w:tcPr>
                  <w:tcW w:w="2266" w:type="pc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eastAsia="zh-CN"/>
                    </w:rPr>
                    <w:t>（十六）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sz w:val="21"/>
                      <w:szCs w:val="21"/>
                      <w:lang w:eastAsia="zh-CN"/>
                    </w:rPr>
                    <w:t>项目</w:t>
                  </w:r>
                  <w:r>
                    <w:rPr>
                      <w:rFonts w:hint="eastAsia" w:ascii="Times New Roman" w:hAnsi="Times New Roman" w:eastAsia="宋体" w:cs="Times New Roman"/>
                      <w:color w:val="auto"/>
                      <w:sz w:val="21"/>
                      <w:szCs w:val="21"/>
                      <w:lang w:val="en-US" w:eastAsia="zh-CN"/>
                    </w:rPr>
                    <w:t>只回收聚丙烯</w:t>
                  </w:r>
                  <w:r>
                    <w:rPr>
                      <w:rFonts w:hint="default" w:ascii="Times New Roman" w:hAnsi="Times New Roman" w:eastAsia="宋体" w:cs="Times New Roman"/>
                      <w:color w:val="auto"/>
                      <w:sz w:val="21"/>
                      <w:szCs w:val="21"/>
                      <w:lang w:eastAsia="zh-CN"/>
                    </w:rPr>
                    <w:t>废塑料</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设置原料</w:t>
                  </w:r>
                  <w:r>
                    <w:rPr>
                      <w:rFonts w:hint="default" w:ascii="Times New Roman" w:hAnsi="Times New Roman" w:eastAsia="宋体" w:cs="Times New Roman"/>
                      <w:color w:val="auto"/>
                      <w:sz w:val="21"/>
                      <w:szCs w:val="21"/>
                      <w:lang w:eastAsia="zh-CN"/>
                    </w:rPr>
                    <w:t>存放场所。原料、产品、本企业不能利用废塑料及不可利用废物贮存在具有防雨、防风、防渗等功能的厂房，无露天堆放现象。</w:t>
                  </w:r>
                  <w:r>
                    <w:rPr>
                      <w:rFonts w:hint="eastAsia"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eastAsia="zh-CN"/>
                    </w:rPr>
                    <w:t>厂区管网</w:t>
                  </w:r>
                  <w:r>
                    <w:rPr>
                      <w:rFonts w:hint="eastAsia" w:ascii="Times New Roman" w:hAnsi="Times New Roman" w:eastAsia="宋体" w:cs="Times New Roman"/>
                      <w:color w:val="auto"/>
                      <w:sz w:val="21"/>
                      <w:szCs w:val="21"/>
                      <w:lang w:val="en-US" w:eastAsia="zh-CN"/>
                    </w:rPr>
                    <w:t>已</w:t>
                  </w:r>
                  <w:r>
                    <w:rPr>
                      <w:rFonts w:hint="eastAsia" w:ascii="Times New Roman" w:hAnsi="Times New Roman" w:eastAsia="宋体" w:cs="Times New Roman"/>
                      <w:color w:val="auto"/>
                      <w:sz w:val="21"/>
                      <w:szCs w:val="21"/>
                      <w:lang w:eastAsia="zh-CN"/>
                    </w:rPr>
                    <w:t>采取</w:t>
                  </w:r>
                  <w:r>
                    <w:rPr>
                      <w:rFonts w:hint="default" w:ascii="Times New Roman" w:hAnsi="Times New Roman" w:eastAsia="宋体" w:cs="Times New Roman"/>
                      <w:color w:val="auto"/>
                      <w:sz w:val="21"/>
                      <w:szCs w:val="21"/>
                      <w:lang w:eastAsia="zh-CN"/>
                    </w:rPr>
                    <w:t>“雨污分流”。</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continue"/>
                  <w:tcBorders>
                    <w:tl2br w:val="nil"/>
                    <w:tr2bl w:val="nil"/>
                  </w:tcBorders>
                  <w:noWrap w:val="0"/>
                  <w:vAlign w:val="top"/>
                </w:tcPr>
                <w:p>
                  <w:pPr>
                    <w:keepNext w:val="0"/>
                    <w:keepLines w:val="0"/>
                    <w:widowControl/>
                    <w:suppressLineNumbers w:val="0"/>
                    <w:spacing w:line="360" w:lineRule="auto"/>
                    <w:jc w:val="both"/>
                    <w:rPr>
                      <w:rFonts w:hint="default" w:ascii="Times New Roman" w:hAnsi="Times New Roman" w:eastAsia="宋体" w:cs="Times New Roman"/>
                      <w:b/>
                      <w:color w:val="auto"/>
                      <w:kern w:val="0"/>
                      <w:sz w:val="21"/>
                      <w:szCs w:val="21"/>
                      <w:vertAlign w:val="baseline"/>
                      <w:lang w:val="en-US" w:eastAsia="zh-CN" w:bidi="ar"/>
                    </w:rPr>
                  </w:pPr>
                </w:p>
              </w:tc>
              <w:tc>
                <w:tcPr>
                  <w:tcW w:w="2266" w:type="pc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eastAsia="zh-CN"/>
                    </w:rPr>
                    <w:t>（十七）企业对收集的废塑料中的金属、橡胶、纤维、渣土、油脂、添加物等夹杂物，应采取相应的处理措施。如企业不具备处理条件，应委托其他具有处理能力的企业处理，不得擅自丢弃、倾倒、焚烧与填埋。</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color w:val="auto"/>
                      <w:sz w:val="21"/>
                      <w:szCs w:val="21"/>
                      <w:lang w:eastAsia="zh-CN"/>
                    </w:rPr>
                    <w:t>企业对收集的废塑料中的金属、橡胶、纤维、渣土等夹杂物采取相应的处理措施。</w:t>
                  </w:r>
                  <w:r>
                    <w:rPr>
                      <w:rFonts w:hint="eastAsia" w:ascii="Times New Roman" w:hAnsi="Times New Roman" w:eastAsia="宋体" w:cs="Times New Roman"/>
                      <w:color w:val="auto"/>
                      <w:sz w:val="21"/>
                      <w:szCs w:val="21"/>
                      <w:lang w:eastAsia="zh-CN"/>
                    </w:rPr>
                    <w:t>无油脂、添加物等夹杂物</w:t>
                  </w:r>
                  <w:r>
                    <w:rPr>
                      <w:rFonts w:hint="default" w:ascii="Times New Roman" w:hAnsi="Times New Roman" w:eastAsia="宋体" w:cs="Times New Roman"/>
                      <w:color w:val="auto"/>
                      <w:sz w:val="21"/>
                      <w:szCs w:val="21"/>
                      <w:lang w:eastAsia="zh-CN"/>
                    </w:rPr>
                    <w:t>。</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continue"/>
                  <w:tcBorders>
                    <w:tl2br w:val="nil"/>
                    <w:tr2bl w:val="nil"/>
                  </w:tcBorders>
                  <w:noWrap w:val="0"/>
                  <w:vAlign w:val="top"/>
                </w:tcPr>
                <w:p>
                  <w:pPr>
                    <w:keepNext w:val="0"/>
                    <w:keepLines w:val="0"/>
                    <w:widowControl/>
                    <w:suppressLineNumbers w:val="0"/>
                    <w:spacing w:line="360" w:lineRule="auto"/>
                    <w:jc w:val="both"/>
                    <w:rPr>
                      <w:rFonts w:hint="default" w:ascii="Times New Roman" w:hAnsi="Times New Roman" w:eastAsia="宋体" w:cs="Times New Roman"/>
                      <w:b/>
                      <w:color w:val="auto"/>
                      <w:kern w:val="0"/>
                      <w:sz w:val="21"/>
                      <w:szCs w:val="21"/>
                      <w:vertAlign w:val="baseline"/>
                      <w:lang w:val="en-US" w:eastAsia="zh-CN" w:bidi="ar"/>
                    </w:rPr>
                  </w:pPr>
                </w:p>
              </w:tc>
              <w:tc>
                <w:tcPr>
                  <w:tcW w:w="2266" w:type="pc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eastAsia="zh-CN"/>
                    </w:rPr>
                    <w:t>（十八）企业应具有与加工利用能力相适应的废水处理设施，中水回用率必须符合环评文件的有关要求。废水处理后需要外排的废水，必须经处理后达标排放。企业应采用高效节能环保的污泥处理工艺</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或交由具有处理资格的废物处理机构</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实现污泥无害化处理。除具有获批建设、验收合格的专业盐卤废水处理设施，禁止使用盐卤分选工艺。</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宋体" w:hAnsi="宋体"/>
                      <w:bCs/>
                      <w:color w:val="auto"/>
                      <w:kern w:val="0"/>
                      <w:szCs w:val="21"/>
                      <w:lang w:val="en-US" w:eastAsia="zh-CN"/>
                    </w:rPr>
                    <w:t>本项目</w:t>
                  </w:r>
                  <w:r>
                    <w:rPr>
                      <w:rFonts w:ascii="宋体" w:hAnsi="宋体"/>
                      <w:bCs/>
                      <w:color w:val="auto"/>
                      <w:kern w:val="0"/>
                      <w:szCs w:val="21"/>
                    </w:rPr>
                    <w:t>无生产废水外排，不新增生活污水，</w:t>
                  </w:r>
                  <w:r>
                    <w:rPr>
                      <w:rFonts w:hint="eastAsia" w:ascii="宋体" w:hAnsi="宋体"/>
                      <w:bCs/>
                      <w:color w:val="auto"/>
                      <w:kern w:val="0"/>
                      <w:szCs w:val="21"/>
                    </w:rPr>
                    <w:t>项目生产废水经自建污水处理站处理后循环回用；冷却水循环使用不外排；生活污水经厂内预处理池处理后排入市政污水管网，最终进入犍为县污水处理厂处理后达标排放</w:t>
                  </w:r>
                  <w:r>
                    <w:rPr>
                      <w:rFonts w:ascii="宋体" w:hAnsi="宋体"/>
                      <w:bCs/>
                      <w:color w:val="auto"/>
                      <w:kern w:val="0"/>
                      <w:szCs w:val="21"/>
                    </w:rPr>
                    <w:t>。</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continue"/>
                  <w:tcBorders>
                    <w:tl2br w:val="nil"/>
                    <w:tr2bl w:val="nil"/>
                  </w:tcBorders>
                  <w:noWrap w:val="0"/>
                  <w:vAlign w:val="top"/>
                </w:tcPr>
                <w:p>
                  <w:pPr>
                    <w:keepNext w:val="0"/>
                    <w:keepLines w:val="0"/>
                    <w:widowControl/>
                    <w:suppressLineNumbers w:val="0"/>
                    <w:spacing w:line="360" w:lineRule="auto"/>
                    <w:jc w:val="both"/>
                    <w:rPr>
                      <w:rFonts w:hint="default" w:ascii="Times New Roman" w:hAnsi="Times New Roman" w:eastAsia="宋体" w:cs="Times New Roman"/>
                      <w:b/>
                      <w:color w:val="auto"/>
                      <w:kern w:val="0"/>
                      <w:sz w:val="21"/>
                      <w:szCs w:val="21"/>
                      <w:vertAlign w:val="baseline"/>
                      <w:lang w:val="en-US" w:eastAsia="zh-CN" w:bidi="ar"/>
                    </w:rPr>
                  </w:pPr>
                </w:p>
              </w:tc>
              <w:tc>
                <w:tcPr>
                  <w:tcW w:w="2266" w:type="pct"/>
                  <w:tcBorders>
                    <w:tl2br w:val="nil"/>
                    <w:tr2bl w:val="nil"/>
                  </w:tcBorders>
                  <w:noWrap w:val="0"/>
                  <w:vAlign w:val="top"/>
                </w:tcPr>
                <w:p>
                  <w:pPr>
                    <w:widowControl w:val="0"/>
                    <w:spacing w:line="240" w:lineRule="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eastAsia="zh-CN"/>
                    </w:rPr>
                    <w:t>（十九）再生加工过程中产生废气、粉尘的加工车间应设置废气、粉尘收集处理设施，通过净化处理，达标后排放。</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color w:val="auto"/>
                      <w:sz w:val="21"/>
                      <w:szCs w:val="21"/>
                      <w:lang w:eastAsia="zh-CN"/>
                    </w:rPr>
                    <w:t>加工过程中产生粉尘设置通过</w:t>
                  </w:r>
                  <w:r>
                    <w:rPr>
                      <w:rFonts w:hint="eastAsia" w:ascii="Times New Roman" w:hAnsi="Times New Roman" w:eastAsia="宋体" w:cs="Times New Roman"/>
                      <w:color w:val="auto"/>
                      <w:sz w:val="21"/>
                      <w:szCs w:val="21"/>
                      <w:lang w:eastAsia="zh-CN"/>
                    </w:rPr>
                    <w:t>袋式除尘器</w:t>
                  </w:r>
                  <w:r>
                    <w:rPr>
                      <w:rFonts w:hint="default" w:ascii="Times New Roman" w:hAnsi="Times New Roman" w:eastAsia="宋体" w:cs="Times New Roman"/>
                      <w:color w:val="auto"/>
                      <w:sz w:val="21"/>
                      <w:szCs w:val="21"/>
                      <w:lang w:eastAsia="zh-CN"/>
                    </w:rPr>
                    <w:t>收集处理，达标后排放。</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6" w:type="pct"/>
                  <w:vMerge w:val="continue"/>
                  <w:tcBorders>
                    <w:tl2br w:val="nil"/>
                    <w:tr2bl w:val="nil"/>
                  </w:tcBorders>
                  <w:noWrap w:val="0"/>
                  <w:vAlign w:val="top"/>
                </w:tcPr>
                <w:p>
                  <w:pPr>
                    <w:keepNext w:val="0"/>
                    <w:keepLines w:val="0"/>
                    <w:widowControl/>
                    <w:suppressLineNumbers w:val="0"/>
                    <w:spacing w:line="360" w:lineRule="auto"/>
                    <w:jc w:val="both"/>
                    <w:rPr>
                      <w:rFonts w:hint="default" w:ascii="Times New Roman" w:hAnsi="Times New Roman" w:eastAsia="宋体" w:cs="Times New Roman"/>
                      <w:b/>
                      <w:color w:val="auto"/>
                      <w:kern w:val="0"/>
                      <w:sz w:val="21"/>
                      <w:szCs w:val="21"/>
                      <w:vertAlign w:val="baseline"/>
                      <w:lang w:val="en-US" w:eastAsia="zh-CN" w:bidi="ar"/>
                    </w:rPr>
                  </w:pPr>
                </w:p>
              </w:tc>
              <w:tc>
                <w:tcPr>
                  <w:tcW w:w="2266" w:type="pct"/>
                  <w:tcBorders>
                    <w:tl2br w:val="nil"/>
                    <w:tr2bl w:val="nil"/>
                  </w:tcBorders>
                  <w:noWrap w:val="0"/>
                  <w:vAlign w:val="top"/>
                </w:tcPr>
                <w:p>
                  <w:pPr>
                    <w:keepNext w:val="0"/>
                    <w:keepLines w:val="0"/>
                    <w:widowControl/>
                    <w:suppressLineNumbers w:val="0"/>
                    <w:spacing w:line="240" w:lineRule="auto"/>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eastAsia="zh-CN"/>
                    </w:rPr>
                    <w:t>（二十）对于加工过程中噪音污染大的设备，必须采取降噪和隔音措施，企业噪声应达到《工业企业厂界环境噪声排放标准》。</w:t>
                  </w:r>
                </w:p>
              </w:tc>
              <w:tc>
                <w:tcPr>
                  <w:tcW w:w="1681" w:type="pct"/>
                  <w:tcBorders>
                    <w:tl2br w:val="nil"/>
                    <w:tr2bl w:val="nil"/>
                  </w:tcBorders>
                  <w:noWrap w:val="0"/>
                  <w:vAlign w:val="top"/>
                </w:tcPr>
                <w:p>
                  <w:pPr>
                    <w:keepNext w:val="0"/>
                    <w:keepLines w:val="0"/>
                    <w:widowControl/>
                    <w:suppressLineNumbers w:val="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宋体" w:hAnsi="宋体" w:eastAsia="宋体" w:cs="宋体"/>
                      <w:color w:val="auto"/>
                      <w:kern w:val="0"/>
                      <w:sz w:val="21"/>
                      <w:szCs w:val="21"/>
                      <w:lang w:val="en-US" w:eastAsia="zh-CN" w:bidi="ar"/>
                    </w:rPr>
                    <w:t>对于加工过程中噪音污染大的设备，采取降噪和隔音措施，企业噪声应达到《工业企业厂界环境噪声排放标准》</w:t>
                  </w:r>
                  <w:r>
                    <w:rPr>
                      <w:rFonts w:ascii="TimesNewRomanPSMT" w:hAnsi="TimesNewRomanPSMT" w:eastAsia="TimesNewRomanPSMT" w:cs="TimesNewRomanPSMT"/>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类。</w:t>
                  </w:r>
                </w:p>
              </w:tc>
              <w:tc>
                <w:tcPr>
                  <w:tcW w:w="565" w:type="pct"/>
                  <w:tcBorders>
                    <w:tl2br w:val="nil"/>
                    <w:tr2bl w:val="nil"/>
                  </w:tcBorders>
                  <w:noWrap w:val="0"/>
                  <w:vAlign w:val="center"/>
                </w:tcPr>
                <w:p>
                  <w:pPr>
                    <w:keepNext w:val="0"/>
                    <w:keepLines w:val="0"/>
                    <w:widowControl/>
                    <w:suppressLineNumbers w:val="0"/>
                    <w:spacing w:line="36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w:t>
            </w:r>
            <w:r>
              <w:rPr>
                <w:rFonts w:hint="eastAsia" w:ascii="Times New Roman" w:hAnsi="Times New Roman" w:cs="Times New Roman"/>
                <w:color w:val="auto"/>
                <w:sz w:val="24"/>
                <w:szCs w:val="24"/>
                <w:lang w:val="en-US" w:eastAsia="zh-CN"/>
              </w:rPr>
              <w:t>所述</w:t>
            </w:r>
            <w:r>
              <w:rPr>
                <w:rFonts w:hint="default" w:ascii="Times New Roman" w:hAnsi="Times New Roman" w:eastAsia="宋体" w:cs="Times New Roman"/>
                <w:color w:val="auto"/>
                <w:sz w:val="24"/>
                <w:szCs w:val="24"/>
                <w:lang w:val="en-US" w:eastAsia="zh-CN"/>
              </w:rPr>
              <w:t>，本项目符合</w:t>
            </w:r>
            <w:r>
              <w:rPr>
                <w:rFonts w:hint="default" w:ascii="Times New Roman" w:hAnsi="Times New Roman" w:eastAsia="宋体" w:cs="Times New Roman"/>
                <w:color w:val="auto"/>
                <w:kern w:val="0"/>
                <w:sz w:val="24"/>
                <w:szCs w:val="24"/>
                <w:lang w:val="en-US" w:eastAsia="zh-CN" w:bidi="ar"/>
              </w:rPr>
              <w:t>《废塑料综合利用行业规范条件》</w:t>
            </w:r>
            <w:r>
              <w:rPr>
                <w:rFonts w:hint="default" w:ascii="Times New Roman" w:hAnsi="Times New Roman" w:eastAsia="宋体" w:cs="Times New Roman"/>
                <w:color w:val="auto"/>
                <w:sz w:val="24"/>
                <w:szCs w:val="24"/>
                <w:lang w:val="en-US" w:eastAsia="zh-CN"/>
              </w:rPr>
              <w:t>要求。</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lang w:val="en-US" w:eastAsia="zh-CN" w:bidi="ar"/>
              </w:rPr>
            </w:pPr>
            <w:r>
              <w:rPr>
                <w:rFonts w:hint="eastAsia"/>
                <w:b/>
                <w:bCs/>
                <w:color w:val="auto"/>
                <w:sz w:val="24"/>
                <w:szCs w:val="24"/>
                <w:lang w:val="en-US" w:eastAsia="zh-CN"/>
              </w:rPr>
              <w:t>九</w:t>
            </w:r>
            <w:r>
              <w:rPr>
                <w:rFonts w:hint="eastAsia" w:ascii="Times New Roman" w:hAnsi="Times New Roman"/>
                <w:b/>
                <w:bCs/>
                <w:color w:val="auto"/>
                <w:sz w:val="24"/>
                <w:szCs w:val="24"/>
                <w:lang w:eastAsia="zh-CN"/>
              </w:rPr>
              <w:t>、</w:t>
            </w:r>
            <w:r>
              <w:rPr>
                <w:rFonts w:hint="eastAsia" w:ascii="宋体" w:hAnsi="宋体"/>
                <w:b/>
                <w:bCs/>
                <w:color w:val="auto"/>
                <w:sz w:val="24"/>
                <w:szCs w:val="24"/>
              </w:rPr>
              <w:t>与《</w:t>
            </w:r>
            <w:r>
              <w:rPr>
                <w:rFonts w:hint="eastAsia"/>
                <w:b/>
                <w:bCs/>
                <w:color w:val="auto"/>
                <w:sz w:val="24"/>
                <w:szCs w:val="24"/>
                <w:lang w:val="en-US" w:eastAsia="zh-CN"/>
              </w:rPr>
              <w:t>废塑料回收与再生利用污染控制技术规范</w:t>
            </w:r>
            <w:r>
              <w:rPr>
                <w:rFonts w:hint="eastAsia" w:ascii="宋体" w:hAnsi="宋体"/>
                <w:b/>
                <w:bCs/>
                <w:color w:val="auto"/>
                <w:sz w:val="24"/>
                <w:szCs w:val="24"/>
              </w:rPr>
              <w:t>》符合性分析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本项目与《</w:t>
            </w:r>
            <w:r>
              <w:rPr>
                <w:rFonts w:hint="eastAsia"/>
                <w:color w:val="auto"/>
                <w:sz w:val="24"/>
                <w:szCs w:val="24"/>
                <w:lang w:val="en-US" w:eastAsia="zh-CN"/>
              </w:rPr>
              <w:t>废塑料回收与再生利用污染控制技术规范</w:t>
            </w:r>
            <w:r>
              <w:rPr>
                <w:rFonts w:hint="default" w:ascii="Times New Roman" w:hAnsi="Times New Roman" w:eastAsia="宋体" w:cs="Times New Roman"/>
                <w:color w:val="auto"/>
                <w:kern w:val="0"/>
                <w:sz w:val="24"/>
                <w:szCs w:val="24"/>
                <w:lang w:val="en-US" w:eastAsia="zh-CN" w:bidi="ar"/>
              </w:rPr>
              <w:t>》的符合性详见下表。</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1</w:t>
            </w:r>
            <w:r>
              <w:rPr>
                <w:rFonts w:hint="eastAsia" w:cs="Times New Roman"/>
                <w:b/>
                <w:bCs/>
                <w:color w:val="auto"/>
                <w:kern w:val="0"/>
                <w:sz w:val="21"/>
                <w:szCs w:val="21"/>
                <w:lang w:val="en-US" w:eastAsia="zh-CN" w:bidi="ar"/>
              </w:rPr>
              <w:t xml:space="preserve">1 </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本项目与</w:t>
            </w:r>
            <w:r>
              <w:rPr>
                <w:rFonts w:hint="eastAsia"/>
                <w:b/>
                <w:bCs/>
                <w:color w:val="auto"/>
                <w:sz w:val="21"/>
                <w:szCs w:val="21"/>
                <w:lang w:val="en-US" w:eastAsia="zh-CN"/>
              </w:rPr>
              <w:t>废塑料回收与再生利用污染控制技术规范</w:t>
            </w:r>
            <w:r>
              <w:rPr>
                <w:rFonts w:hint="default" w:ascii="Times New Roman" w:hAnsi="Times New Roman" w:eastAsia="宋体" w:cs="Times New Roman"/>
                <w:b/>
                <w:bCs/>
                <w:color w:val="auto"/>
                <w:kern w:val="0"/>
                <w:sz w:val="21"/>
                <w:szCs w:val="21"/>
                <w:lang w:val="en-US" w:eastAsia="zh-CN" w:bidi="ar"/>
              </w:rPr>
              <w:t>符合性</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980"/>
              <w:gridCol w:w="2498"/>
              <w:gridCol w:w="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tcBorders>
                    <w:tl2br w:val="nil"/>
                    <w:tr2bl w:val="nil"/>
                  </w:tcBorders>
                  <w:shd w:val="clear" w:color="auto" w:fill="DCE6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序号</w:t>
                  </w:r>
                </w:p>
              </w:tc>
              <w:tc>
                <w:tcPr>
                  <w:tcW w:w="2426" w:type="pct"/>
                  <w:tcBorders>
                    <w:tl2br w:val="nil"/>
                    <w:tr2bl w:val="nil"/>
                  </w:tcBorders>
                  <w:shd w:val="clear" w:color="auto" w:fill="DCE6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废</w:t>
                  </w:r>
                  <w:r>
                    <w:rPr>
                      <w:rFonts w:hint="eastAsia" w:ascii="Times New Roman" w:hAnsi="Times New Roman" w:eastAsia="宋体" w:cs="Times New Roman"/>
                      <w:b/>
                      <w:bCs/>
                      <w:color w:val="auto"/>
                      <w:kern w:val="0"/>
                      <w:sz w:val="21"/>
                      <w:szCs w:val="21"/>
                      <w:lang w:val="en-US" w:eastAsia="zh-CN" w:bidi="ar"/>
                    </w:rPr>
                    <w:t>塑料</w:t>
                  </w:r>
                  <w:r>
                    <w:rPr>
                      <w:rFonts w:hint="default" w:ascii="Times New Roman" w:hAnsi="Times New Roman" w:eastAsia="宋体" w:cs="Times New Roman"/>
                      <w:b/>
                      <w:bCs/>
                      <w:color w:val="auto"/>
                      <w:kern w:val="0"/>
                      <w:sz w:val="21"/>
                      <w:szCs w:val="21"/>
                      <w:lang w:val="en-US" w:eastAsia="zh-CN" w:bidi="ar"/>
                    </w:rPr>
                    <w:t>加工行业准入条件</w:t>
                  </w:r>
                </w:p>
              </w:tc>
              <w:tc>
                <w:tcPr>
                  <w:tcW w:w="1523" w:type="pct"/>
                  <w:tcBorders>
                    <w:tl2br w:val="nil"/>
                    <w:tr2bl w:val="nil"/>
                  </w:tcBorders>
                  <w:shd w:val="clear" w:color="auto" w:fill="DCE6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本项目</w:t>
                  </w:r>
                </w:p>
              </w:tc>
              <w:tc>
                <w:tcPr>
                  <w:tcW w:w="565" w:type="pct"/>
                  <w:tcBorders>
                    <w:tl2br w:val="nil"/>
                    <w:tr2bl w:val="nil"/>
                  </w:tcBorders>
                  <w:shd w:val="clear" w:color="auto" w:fill="DCE6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1</w:t>
                  </w:r>
                </w:p>
              </w:tc>
              <w:tc>
                <w:tcPr>
                  <w:tcW w:w="24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废塑料的回收应按原料树脂种类进行分类回收，并严格区分废塑料来源和原用途。不得回收和再生利用属于医疗废物和危险废物的废塑料。</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val="0"/>
                      <w:bCs/>
                      <w:color w:val="auto"/>
                      <w:kern w:val="0"/>
                      <w:sz w:val="21"/>
                      <w:szCs w:val="21"/>
                      <w:vertAlign w:val="baseline"/>
                      <w:lang w:val="en-US" w:eastAsia="zh-CN" w:bidi="ar"/>
                    </w:rPr>
                    <w:t>本项目只回收聚丙烯</w:t>
                  </w:r>
                  <w:r>
                    <w:rPr>
                      <w:rFonts w:hint="default" w:ascii="Times New Roman" w:hAnsi="Times New Roman" w:eastAsia="宋体" w:cs="Times New Roman"/>
                      <w:b w:val="0"/>
                      <w:bCs/>
                      <w:color w:val="auto"/>
                      <w:kern w:val="0"/>
                      <w:sz w:val="21"/>
                      <w:szCs w:val="21"/>
                      <w:vertAlign w:val="baseline"/>
                      <w:lang w:val="en-US" w:eastAsia="zh-CN" w:bidi="ar"/>
                    </w:rPr>
                    <w:t>废塑料</w:t>
                  </w:r>
                  <w:r>
                    <w:rPr>
                      <w:rFonts w:hint="eastAsia" w:ascii="Times New Roman" w:hAnsi="Times New Roman" w:eastAsia="宋体" w:cs="Times New Roman"/>
                      <w:b w:val="0"/>
                      <w:bCs/>
                      <w:color w:val="auto"/>
                      <w:kern w:val="0"/>
                      <w:sz w:val="21"/>
                      <w:szCs w:val="21"/>
                      <w:vertAlign w:val="baseline"/>
                      <w:lang w:val="en-US" w:eastAsia="zh-CN" w:bidi="ar"/>
                    </w:rPr>
                    <w:t>，不包含</w:t>
                  </w:r>
                  <w:r>
                    <w:rPr>
                      <w:rFonts w:hint="default" w:ascii="Times New Roman" w:hAnsi="Times New Roman" w:eastAsia="宋体" w:cs="Times New Roman"/>
                      <w:b w:val="0"/>
                      <w:bCs/>
                      <w:color w:val="auto"/>
                      <w:kern w:val="0"/>
                      <w:sz w:val="21"/>
                      <w:szCs w:val="21"/>
                      <w:vertAlign w:val="baseline"/>
                      <w:lang w:val="en-US" w:eastAsia="zh-CN" w:bidi="ar"/>
                    </w:rPr>
                    <w:t>医疗废物和危险废物的废塑料。</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2</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废塑料运输前应进行包装，或用封闭的交通工具运输，不得裸露运输废塑料。</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val="0"/>
                      <w:bCs/>
                      <w:color w:val="auto"/>
                      <w:kern w:val="0"/>
                      <w:sz w:val="21"/>
                      <w:szCs w:val="21"/>
                      <w:vertAlign w:val="baseline"/>
                      <w:lang w:val="en-US" w:eastAsia="zh-CN" w:bidi="ar"/>
                    </w:rPr>
                    <w:t>本项目</w:t>
                  </w:r>
                  <w:r>
                    <w:rPr>
                      <w:rFonts w:hint="default" w:ascii="Times New Roman" w:hAnsi="Times New Roman" w:eastAsia="宋体" w:cs="Times New Roman"/>
                      <w:b w:val="0"/>
                      <w:bCs/>
                      <w:color w:val="auto"/>
                      <w:kern w:val="0"/>
                      <w:sz w:val="21"/>
                      <w:szCs w:val="21"/>
                      <w:vertAlign w:val="baseline"/>
                      <w:lang w:val="en-US" w:eastAsia="zh-CN" w:bidi="ar"/>
                    </w:rPr>
                    <w:t>废塑料</w:t>
                  </w:r>
                  <w:r>
                    <w:rPr>
                      <w:rFonts w:hint="eastAsia" w:ascii="Times New Roman" w:hAnsi="Times New Roman" w:eastAsia="宋体" w:cs="Times New Roman"/>
                      <w:b w:val="0"/>
                      <w:bCs/>
                      <w:color w:val="auto"/>
                      <w:kern w:val="0"/>
                      <w:sz w:val="21"/>
                      <w:szCs w:val="21"/>
                      <w:vertAlign w:val="baseline"/>
                      <w:lang w:val="en-US" w:eastAsia="zh-CN" w:bidi="ar"/>
                    </w:rPr>
                    <w:t>均外购，袋装，运输货车用篷布进行遮蔽</w:t>
                  </w:r>
                  <w:r>
                    <w:rPr>
                      <w:rFonts w:hint="default" w:ascii="Times New Roman" w:hAnsi="Times New Roman" w:eastAsia="宋体" w:cs="Times New Roman"/>
                      <w:b w:val="0"/>
                      <w:bCs/>
                      <w:color w:val="auto"/>
                      <w:kern w:val="0"/>
                      <w:sz w:val="21"/>
                      <w:szCs w:val="21"/>
                      <w:vertAlign w:val="baseline"/>
                      <w:lang w:val="en-US" w:eastAsia="zh-CN" w:bidi="ar"/>
                    </w:rPr>
                    <w:t>，</w:t>
                  </w:r>
                  <w:r>
                    <w:rPr>
                      <w:rFonts w:hint="eastAsia" w:ascii="Times New Roman" w:hAnsi="Times New Roman" w:eastAsia="宋体" w:cs="Times New Roman"/>
                      <w:b w:val="0"/>
                      <w:bCs/>
                      <w:color w:val="auto"/>
                      <w:kern w:val="0"/>
                      <w:sz w:val="21"/>
                      <w:szCs w:val="21"/>
                      <w:vertAlign w:val="baseline"/>
                      <w:lang w:val="en-US" w:eastAsia="zh-CN" w:bidi="ar"/>
                    </w:rPr>
                    <w:t>运输车辆入场后直接进入原料库房</w:t>
                  </w:r>
                  <w:r>
                    <w:rPr>
                      <w:rFonts w:hint="default" w:ascii="Times New Roman" w:hAnsi="Times New Roman" w:eastAsia="宋体" w:cs="Times New Roman"/>
                      <w:b w:val="0"/>
                      <w:bCs/>
                      <w:color w:val="auto"/>
                      <w:kern w:val="0"/>
                      <w:sz w:val="21"/>
                      <w:szCs w:val="21"/>
                      <w:vertAlign w:val="baseline"/>
                      <w:lang w:val="en-US" w:eastAsia="zh-CN" w:bidi="ar"/>
                    </w:rPr>
                    <w:t>。</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3</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贮存场所必须为封闭或半封闭型设施，应有防雨、防晒、防渗、防尘、防扬散和防火措施。</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贮存场所</w:t>
                  </w:r>
                  <w:r>
                    <w:rPr>
                      <w:rFonts w:hint="eastAsia" w:ascii="Times New Roman" w:hAnsi="Times New Roman" w:eastAsia="宋体" w:cs="Times New Roman"/>
                      <w:b w:val="0"/>
                      <w:bCs/>
                      <w:color w:val="auto"/>
                      <w:kern w:val="0"/>
                      <w:sz w:val="21"/>
                      <w:szCs w:val="21"/>
                      <w:vertAlign w:val="baseline"/>
                      <w:lang w:val="en-US" w:eastAsia="zh-CN" w:bidi="ar"/>
                    </w:rPr>
                    <w:t>在</w:t>
                  </w:r>
                  <w:r>
                    <w:rPr>
                      <w:rFonts w:hint="default" w:ascii="Times New Roman" w:hAnsi="Times New Roman" w:eastAsia="宋体" w:cs="Times New Roman"/>
                      <w:b w:val="0"/>
                      <w:bCs/>
                      <w:color w:val="auto"/>
                      <w:kern w:val="0"/>
                      <w:sz w:val="21"/>
                      <w:szCs w:val="21"/>
                      <w:vertAlign w:val="baseline"/>
                      <w:lang w:val="en-US" w:eastAsia="zh-CN" w:bidi="ar"/>
                    </w:rPr>
                    <w:t>封闭</w:t>
                  </w:r>
                  <w:r>
                    <w:rPr>
                      <w:rFonts w:hint="eastAsia" w:ascii="Times New Roman" w:hAnsi="Times New Roman" w:eastAsia="宋体" w:cs="Times New Roman"/>
                      <w:b w:val="0"/>
                      <w:bCs/>
                      <w:color w:val="auto"/>
                      <w:kern w:val="0"/>
                      <w:sz w:val="21"/>
                      <w:szCs w:val="21"/>
                      <w:vertAlign w:val="baseline"/>
                      <w:lang w:val="en-US" w:eastAsia="zh-CN" w:bidi="ar"/>
                    </w:rPr>
                    <w:t>厂房内</w:t>
                  </w:r>
                  <w:r>
                    <w:rPr>
                      <w:rFonts w:hint="default" w:ascii="Times New Roman" w:hAnsi="Times New Roman" w:eastAsia="宋体" w:cs="Times New Roman"/>
                      <w:b w:val="0"/>
                      <w:bCs/>
                      <w:color w:val="auto"/>
                      <w:kern w:val="0"/>
                      <w:sz w:val="21"/>
                      <w:szCs w:val="21"/>
                      <w:vertAlign w:val="baseline"/>
                      <w:lang w:val="en-US" w:eastAsia="zh-CN" w:bidi="ar"/>
                    </w:rPr>
                    <w:t>，</w:t>
                  </w:r>
                  <w:r>
                    <w:rPr>
                      <w:rFonts w:hint="eastAsia" w:ascii="Times New Roman" w:hAnsi="Times New Roman" w:eastAsia="宋体" w:cs="Times New Roman"/>
                      <w:b w:val="0"/>
                      <w:bCs/>
                      <w:color w:val="auto"/>
                      <w:kern w:val="0"/>
                      <w:sz w:val="21"/>
                      <w:szCs w:val="21"/>
                      <w:vertAlign w:val="baseline"/>
                      <w:lang w:val="en-US" w:eastAsia="zh-CN" w:bidi="ar"/>
                    </w:rPr>
                    <w:t>满足</w:t>
                  </w:r>
                  <w:r>
                    <w:rPr>
                      <w:rFonts w:hint="default" w:ascii="Times New Roman" w:hAnsi="Times New Roman" w:eastAsia="宋体" w:cs="Times New Roman"/>
                      <w:b w:val="0"/>
                      <w:bCs/>
                      <w:color w:val="auto"/>
                      <w:kern w:val="0"/>
                      <w:sz w:val="21"/>
                      <w:szCs w:val="21"/>
                      <w:vertAlign w:val="baseline"/>
                      <w:lang w:val="en-US" w:eastAsia="zh-CN" w:bidi="ar"/>
                    </w:rPr>
                    <w:t>防雨、防晒、防渗、防尘、防扬散和防火</w:t>
                  </w:r>
                  <w:r>
                    <w:rPr>
                      <w:rFonts w:hint="eastAsia" w:ascii="Times New Roman" w:hAnsi="Times New Roman" w:eastAsia="宋体" w:cs="Times New Roman"/>
                      <w:b w:val="0"/>
                      <w:bCs/>
                      <w:color w:val="auto"/>
                      <w:kern w:val="0"/>
                      <w:sz w:val="21"/>
                      <w:szCs w:val="21"/>
                      <w:vertAlign w:val="baseline"/>
                      <w:lang w:val="en-US" w:eastAsia="zh-CN" w:bidi="ar"/>
                    </w:rPr>
                    <w:t>要求</w:t>
                  </w:r>
                  <w:r>
                    <w:rPr>
                      <w:rFonts w:hint="default" w:ascii="Times New Roman" w:hAnsi="Times New Roman" w:eastAsia="宋体" w:cs="Times New Roman"/>
                      <w:b w:val="0"/>
                      <w:bCs/>
                      <w:color w:val="auto"/>
                      <w:kern w:val="0"/>
                      <w:sz w:val="21"/>
                      <w:szCs w:val="21"/>
                      <w:vertAlign w:val="baseline"/>
                      <w:lang w:val="en-US" w:eastAsia="zh-CN" w:bidi="ar"/>
                    </w:rPr>
                    <w:t>。</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4</w:t>
                  </w:r>
                </w:p>
              </w:tc>
              <w:tc>
                <w:tcPr>
                  <w:tcW w:w="24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不宜以废塑料为原料炼油</w:t>
                  </w:r>
                  <w:r>
                    <w:rPr>
                      <w:rFonts w:hint="eastAsia" w:ascii="Times New Roman" w:hAnsi="Times New Roman" w:eastAsia="宋体" w:cs="Times New Roman"/>
                      <w:b w:val="0"/>
                      <w:bCs/>
                      <w:color w:val="auto"/>
                      <w:kern w:val="0"/>
                      <w:sz w:val="21"/>
                      <w:szCs w:val="21"/>
                      <w:vertAlign w:val="baseline"/>
                      <w:lang w:val="en-US" w:eastAsia="zh-CN" w:bidi="ar"/>
                    </w:rPr>
                    <w:t>。</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val="0"/>
                      <w:bCs/>
                      <w:color w:val="auto"/>
                      <w:kern w:val="0"/>
                      <w:sz w:val="21"/>
                      <w:szCs w:val="21"/>
                      <w:vertAlign w:val="baseline"/>
                      <w:lang w:val="en-US" w:eastAsia="zh-CN" w:bidi="ar"/>
                    </w:rPr>
                    <w:t>本项目不涉及</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5</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废塑料的再生利用项目必须经过县级以上地方人民政府环境保护行政主管部门的环保审批，严格执行环境影响评价和“三同时”制度。未获环保审批的企业或个人不得从事废塑料的处理和加工。</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lang w:val="en-US" w:eastAsia="zh-CN" w:bidi="ar"/>
                    </w:rPr>
                    <w:t>本</w:t>
                  </w:r>
                  <w:r>
                    <w:rPr>
                      <w:rFonts w:hint="default" w:ascii="Times New Roman" w:hAnsi="Times New Roman" w:eastAsia="宋体" w:cs="Times New Roman"/>
                      <w:color w:val="auto"/>
                      <w:kern w:val="0"/>
                      <w:sz w:val="21"/>
                      <w:szCs w:val="21"/>
                      <w:lang w:val="en-US" w:eastAsia="zh-CN" w:bidi="ar"/>
                    </w:rPr>
                    <w:t>项目</w:t>
                  </w:r>
                  <w:r>
                    <w:rPr>
                      <w:rFonts w:hint="eastAsia" w:ascii="Times New Roman" w:hAnsi="Times New Roman" w:eastAsia="宋体" w:cs="Times New Roman"/>
                      <w:color w:val="auto"/>
                      <w:kern w:val="0"/>
                      <w:sz w:val="21"/>
                      <w:szCs w:val="21"/>
                      <w:lang w:val="en-US" w:eastAsia="zh-CN" w:bidi="ar"/>
                    </w:rPr>
                    <w:t>严格按照规定进行</w:t>
                  </w:r>
                  <w:r>
                    <w:rPr>
                      <w:rFonts w:hint="default" w:ascii="Times New Roman" w:hAnsi="Times New Roman" w:eastAsia="宋体" w:cs="Times New Roman"/>
                      <w:color w:val="auto"/>
                      <w:kern w:val="0"/>
                      <w:sz w:val="21"/>
                      <w:szCs w:val="21"/>
                      <w:lang w:val="en-US" w:eastAsia="zh-CN" w:bidi="ar"/>
                    </w:rPr>
                    <w:t>环境影响评价</w:t>
                  </w:r>
                  <w:r>
                    <w:rPr>
                      <w:rFonts w:hint="eastAsia" w:ascii="Times New Roman" w:hAnsi="Times New Roman" w:eastAsia="宋体" w:cs="Times New Roman"/>
                      <w:color w:val="auto"/>
                      <w:kern w:val="0"/>
                      <w:sz w:val="21"/>
                      <w:szCs w:val="21"/>
                      <w:lang w:val="en-US" w:eastAsia="zh-CN" w:bidi="ar"/>
                    </w:rPr>
                    <w:t>报批</w:t>
                  </w:r>
                  <w:r>
                    <w:rPr>
                      <w:rFonts w:hint="default" w:ascii="Times New Roman" w:hAnsi="Times New Roman" w:eastAsia="宋体" w:cs="Times New Roman"/>
                      <w:color w:val="auto"/>
                      <w:kern w:val="0"/>
                      <w:sz w:val="21"/>
                      <w:szCs w:val="21"/>
                      <w:lang w:val="en-US" w:eastAsia="zh-CN" w:bidi="ar"/>
                    </w:rPr>
                    <w:t>，严格执行环境影响评价和“三同时”制度。</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6</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新建废塑料再生利用项目的选址应符合环境保护要求，不得建在城市居民区、商业区及其他环境敏感区内;现有再生利用企业如在上述区域内，必须按照当地规划和环境保护行政主管部门的要求限期搬迁。</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ascii="宋体" w:hAnsi="宋体"/>
                      <w:color w:val="auto"/>
                    </w:rPr>
                    <w:t>本项目位于</w:t>
                  </w:r>
                  <w:r>
                    <w:rPr>
                      <w:rFonts w:hint="eastAsia"/>
                      <w:color w:val="auto"/>
                    </w:rPr>
                    <w:t>乐山市犍为县舞雩镇石马坝工业园区</w:t>
                  </w:r>
                  <w:r>
                    <w:rPr>
                      <w:rFonts w:hint="eastAsia"/>
                      <w:color w:val="auto"/>
                      <w:lang w:val="en-US" w:eastAsia="zh-CN"/>
                    </w:rPr>
                    <w:t>内</w:t>
                  </w:r>
                  <w:r>
                    <w:rPr>
                      <w:rFonts w:ascii="宋体" w:hAnsi="宋体"/>
                      <w:color w:val="auto"/>
                    </w:rPr>
                    <w:t>，</w:t>
                  </w:r>
                  <w:r>
                    <w:rPr>
                      <w:rFonts w:hint="eastAsia" w:ascii="宋体" w:hAnsi="宋体"/>
                      <w:color w:val="auto"/>
                      <w:lang w:val="en-US" w:eastAsia="zh-CN"/>
                    </w:rPr>
                    <w:t>不涉及</w:t>
                  </w:r>
                  <w:r>
                    <w:rPr>
                      <w:rFonts w:hint="default" w:ascii="Times New Roman" w:hAnsi="Times New Roman" w:eastAsia="宋体" w:cs="Times New Roman"/>
                      <w:color w:val="auto"/>
                      <w:kern w:val="0"/>
                      <w:sz w:val="21"/>
                      <w:szCs w:val="21"/>
                      <w:lang w:val="en-US" w:eastAsia="zh-CN" w:bidi="ar"/>
                    </w:rPr>
                    <w:t>城市居民区、商业区及其他环境敏感区</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7</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废塑料预处理工艺主要包括分选、清洗、破碎和干燥。</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lang w:val="en-US" w:eastAsia="zh-CN" w:bidi="ar"/>
                    </w:rPr>
                    <w:t>本项目</w:t>
                  </w:r>
                  <w:r>
                    <w:rPr>
                      <w:rFonts w:hint="default" w:ascii="Times New Roman" w:hAnsi="Times New Roman" w:eastAsia="宋体" w:cs="Times New Roman"/>
                      <w:color w:val="auto"/>
                      <w:kern w:val="0"/>
                      <w:sz w:val="21"/>
                      <w:szCs w:val="21"/>
                      <w:lang w:val="en-US" w:eastAsia="zh-CN" w:bidi="ar"/>
                    </w:rPr>
                    <w:t>预处理工艺包括分选、清洗、破碎和干燥。</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8</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再生利用项目必须建有围墙并按功能划分厂区，包括管理区、原料区、生产区、产品贮存区、污染控制区(包括不可利用的废物的贮存和处理区)。各功能区应有明显的界线和标志。</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lang w:val="en-US" w:eastAsia="zh-CN" w:bidi="ar"/>
                    </w:rPr>
                    <w:t>项目设有生产车间、原料储存区、成品储存区</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污染控制区等。</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9</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所有功能区必须有封闭或半封闭设施，采取防风、防雨、防渗、防火等措施，并有足够的疏散通道。</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lang w:val="en-US" w:eastAsia="zh-CN" w:bidi="ar"/>
                    </w:rPr>
                    <w:t>项目生产车间、原料储存区、成品储存区</w:t>
                  </w:r>
                  <w:r>
                    <w:rPr>
                      <w:rFonts w:hint="default" w:ascii="Times New Roman" w:hAnsi="Times New Roman" w:eastAsia="宋体" w:cs="Times New Roman"/>
                      <w:color w:val="auto"/>
                      <w:kern w:val="0"/>
                      <w:sz w:val="21"/>
                      <w:szCs w:val="21"/>
                      <w:lang w:val="en-US" w:eastAsia="zh-CN" w:bidi="ar"/>
                    </w:rPr>
                    <w:t>有封闭设施，采取防风、防雨、防渗、防火等措施，并有足够的疏散通道。</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10</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塑料预处理、再生利用等过程中产生的废水和厂区产生的生活废水，企业应有配套的废水收集设施。废水宜在厂区内处理并循环利用;处理后的废水排放应按企业所在环境功能区类别，应执行GB8978;重点控制的污染物指标包括COD、BOD5、ss、pH、TN、NH3一N、TP、色度、油类、可吸附有机卤化物、粪大肠杆菌群数。并入市政污水管网集中处理的废水应符合CJ 3082要求。</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val="0"/>
                      <w:bCs/>
                      <w:color w:val="auto"/>
                      <w:kern w:val="0"/>
                      <w:sz w:val="21"/>
                      <w:szCs w:val="21"/>
                      <w:vertAlign w:val="baseline"/>
                      <w:lang w:val="en-US" w:eastAsia="zh-CN" w:bidi="ar"/>
                    </w:rPr>
                    <w:t>企业配套有相应的生产、生活废水收集处理设施，生产废水经</w:t>
                  </w:r>
                  <w:r>
                    <w:rPr>
                      <w:rFonts w:hint="default" w:ascii="Times New Roman" w:hAnsi="Times New Roman" w:eastAsia="宋体" w:cs="Times New Roman"/>
                      <w:b w:val="0"/>
                      <w:bCs/>
                      <w:color w:val="auto"/>
                      <w:kern w:val="0"/>
                      <w:sz w:val="21"/>
                      <w:szCs w:val="21"/>
                      <w:lang w:val="en-US" w:eastAsia="zh-CN" w:bidi="ar"/>
                    </w:rPr>
                    <w:t>处理</w:t>
                  </w:r>
                  <w:r>
                    <w:rPr>
                      <w:rFonts w:hint="eastAsia" w:ascii="Times New Roman" w:hAnsi="Times New Roman" w:eastAsia="宋体" w:cs="Times New Roman"/>
                      <w:b w:val="0"/>
                      <w:bCs/>
                      <w:color w:val="auto"/>
                      <w:kern w:val="0"/>
                      <w:sz w:val="21"/>
                      <w:szCs w:val="21"/>
                      <w:lang w:val="en-US" w:eastAsia="zh-CN" w:bidi="ar"/>
                    </w:rPr>
                    <w:t>后</w:t>
                  </w:r>
                  <w:r>
                    <w:rPr>
                      <w:rFonts w:hint="default" w:ascii="Times New Roman" w:hAnsi="Times New Roman" w:eastAsia="宋体" w:cs="Times New Roman"/>
                      <w:color w:val="auto"/>
                      <w:kern w:val="0"/>
                      <w:sz w:val="21"/>
                      <w:szCs w:val="21"/>
                      <w:lang w:val="en-US" w:eastAsia="zh-CN" w:bidi="ar"/>
                    </w:rPr>
                    <w:t>并循环利用</w:t>
                  </w:r>
                  <w:r>
                    <w:rPr>
                      <w:rFonts w:hint="eastAsia" w:ascii="Times New Roman" w:hAnsi="Times New Roman" w:eastAsia="宋体" w:cs="Times New Roman"/>
                      <w:color w:val="auto"/>
                      <w:kern w:val="0"/>
                      <w:sz w:val="21"/>
                      <w:szCs w:val="21"/>
                      <w:lang w:val="en-US" w:eastAsia="zh-CN" w:bidi="ar"/>
                    </w:rPr>
                    <w:t>，不外排</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11</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预处理、再生利用过程中产生的废气，企业应有集气装置收集，经净化处理的废气排放应按企业所在环境功能区类别，应执行GB16297和GB14554;重点控制的污染物包括颗粒物、氟化物、汞、铬、铅、苯、甲苯、酚类、苯胺类、光气、恶臭。</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lang w:val="en-US" w:eastAsia="zh-CN" w:bidi="ar"/>
                    </w:rPr>
                    <w:t>企业设置</w:t>
                  </w:r>
                  <w:r>
                    <w:rPr>
                      <w:rFonts w:hint="default" w:ascii="Times New Roman" w:hAnsi="Times New Roman" w:eastAsia="宋体" w:cs="Times New Roman"/>
                      <w:color w:val="auto"/>
                      <w:kern w:val="0"/>
                      <w:sz w:val="21"/>
                      <w:szCs w:val="21"/>
                      <w:lang w:val="en-US" w:eastAsia="zh-CN" w:bidi="ar"/>
                    </w:rPr>
                    <w:t>集气装置收集，</w:t>
                  </w:r>
                  <w:r>
                    <w:rPr>
                      <w:rFonts w:hint="eastAsia" w:ascii="Times New Roman" w:hAnsi="Times New Roman"/>
                      <w:bCs/>
                      <w:color w:val="auto"/>
                      <w:sz w:val="21"/>
                      <w:szCs w:val="21"/>
                      <w:lang w:val="en-US" w:eastAsia="zh-CN"/>
                    </w:rPr>
                    <w:t>过</w:t>
                  </w:r>
                  <w:r>
                    <w:rPr>
                      <w:rFonts w:ascii="Times New Roman" w:hAnsi="Times New Roman"/>
                      <w:bCs/>
                      <w:color w:val="auto"/>
                      <w:sz w:val="21"/>
                      <w:szCs w:val="21"/>
                    </w:rPr>
                    <w:t>布袋除尘器+水膜+喷淋塔+UV光解+低温等离子</w:t>
                  </w:r>
                  <w:r>
                    <w:rPr>
                      <w:rFonts w:hint="eastAsia" w:ascii="Times New Roman" w:hAnsi="Times New Roman"/>
                      <w:bCs/>
                      <w:color w:val="auto"/>
                      <w:sz w:val="21"/>
                      <w:szCs w:val="21"/>
                      <w:lang w:val="en-US" w:eastAsia="zh-CN"/>
                    </w:rPr>
                    <w:t>+</w:t>
                  </w:r>
                  <w:r>
                    <w:rPr>
                      <w:rFonts w:hint="eastAsia"/>
                      <w:bCs/>
                      <w:color w:val="auto"/>
                      <w:sz w:val="21"/>
                      <w:szCs w:val="21"/>
                    </w:rPr>
                    <w:t>二级活性炭吸附处理设</w:t>
                  </w:r>
                  <w:r>
                    <w:rPr>
                      <w:rFonts w:ascii="Times New Roman" w:hAnsi="Times New Roman"/>
                      <w:bCs/>
                      <w:color w:val="auto"/>
                      <w:sz w:val="21"/>
                      <w:szCs w:val="21"/>
                    </w:rPr>
                    <w:t>备</w:t>
                  </w:r>
                  <w:r>
                    <w:rPr>
                      <w:rFonts w:hint="eastAsia" w:ascii="Times New Roman" w:hAnsi="Times New Roman"/>
                      <w:bCs/>
                      <w:color w:val="auto"/>
                      <w:sz w:val="21"/>
                      <w:szCs w:val="21"/>
                      <w:lang w:val="en-US" w:eastAsia="zh-CN"/>
                    </w:rPr>
                    <w:t>后通过15m高排气筒（DA001）排放。</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12</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采用焚烧方式对废塑料进行能量回收时，焚烧设施应具有烟气处理设备，焚烧设施的烟气排放应执行GB18485。重点控制的污染物指标包括烟气黑度、烟尘、一氧化碳、氟化氢、氯化氢、氮氧化物、二恶英类。</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本项目不涉及</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13</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能量回收过程中，除尘设备收集的焚烧飞灰一般应按危险废物管理。其他气体净化装置收集的固体废物和焚烧炉渣，应按国家危险废物鉴别标准进行鉴别，属于危险废物的按照危险废物管理，否则按一般工业固体废物管理。</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本项目不涉及</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14</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预处理和再生利用过程中应控制噪声污染，排放噪声应符合GB12348的要求。</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项目厂界噪声满足《工业企业厂界环境噪声排放标准》（GB12348-2008）中3类标准要求。</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15</w:t>
                  </w:r>
                </w:p>
              </w:tc>
              <w:tc>
                <w:tcPr>
                  <w:tcW w:w="24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不得在无燃烧设备和烟气净化装置的条件下焚烧废塑料或用焚烧方式处理塑料挤出机过滤网片。</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本项目不涉及</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bidi="ar"/>
                    </w:rPr>
                  </w:pPr>
                  <w:r>
                    <w:rPr>
                      <w:rFonts w:hint="eastAsia" w:ascii="Times New Roman" w:hAnsi="Times New Roman" w:eastAsia="宋体" w:cs="Times New Roman"/>
                      <w:b/>
                      <w:color w:val="auto"/>
                      <w:kern w:val="0"/>
                      <w:sz w:val="21"/>
                      <w:szCs w:val="21"/>
                      <w:vertAlign w:val="baseline"/>
                      <w:lang w:val="en-US" w:eastAsia="zh-CN" w:bidi="ar"/>
                    </w:rPr>
                    <w:t>16</w:t>
                  </w:r>
                </w:p>
              </w:tc>
              <w:tc>
                <w:tcPr>
                  <w:tcW w:w="24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废塑料预处理、再生利用过程中产生的固体废物，包括分选出的不宜再生利用的废塑料，应按工业固体废物处置，并执行相关环境保护标准。</w:t>
                  </w:r>
                </w:p>
              </w:tc>
              <w:tc>
                <w:tcPr>
                  <w:tcW w:w="15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项固体废物分类收集，并妥善处置。</w:t>
                  </w:r>
                </w:p>
              </w:tc>
              <w:tc>
                <w:tcPr>
                  <w:tcW w:w="5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color w:val="auto"/>
                      <w:kern w:val="0"/>
                      <w:sz w:val="21"/>
                      <w:szCs w:val="21"/>
                      <w:vertAlign w:val="baseline"/>
                      <w:lang w:val="en-US" w:eastAsia="zh-CN" w:bidi="ar"/>
                    </w:rPr>
                    <w:t>符合</w:t>
                  </w:r>
                </w:p>
              </w:tc>
            </w:tr>
          </w:tbl>
          <w:p>
            <w:pPr>
              <w:spacing w:line="360" w:lineRule="auto"/>
              <w:ind w:firstLine="480" w:firstLineChars="200"/>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综上所述，</w:t>
            </w:r>
            <w:r>
              <w:rPr>
                <w:rFonts w:hint="default" w:ascii="Times New Roman" w:hAnsi="Times New Roman" w:eastAsia="宋体" w:cs="Times New Roman"/>
                <w:color w:val="auto"/>
                <w:kern w:val="0"/>
                <w:sz w:val="24"/>
                <w:szCs w:val="24"/>
                <w:lang w:val="en-US" w:eastAsia="zh-CN" w:bidi="ar"/>
              </w:rPr>
              <w:t>本项目</w:t>
            </w:r>
            <w:r>
              <w:rPr>
                <w:rFonts w:hint="eastAsia" w:ascii="Times New Roman" w:hAnsi="Times New Roman" w:eastAsia="宋体" w:cs="Times New Roman"/>
                <w:color w:val="auto"/>
                <w:kern w:val="0"/>
                <w:sz w:val="24"/>
                <w:szCs w:val="24"/>
                <w:lang w:val="en-US" w:eastAsia="zh-CN" w:bidi="ar"/>
              </w:rPr>
              <w:t>符合</w:t>
            </w:r>
            <w:r>
              <w:rPr>
                <w:rFonts w:hint="default" w:ascii="Times New Roman" w:hAnsi="Times New Roman" w:eastAsia="宋体" w:cs="Times New Roman"/>
                <w:color w:val="auto"/>
                <w:kern w:val="0"/>
                <w:sz w:val="24"/>
                <w:szCs w:val="24"/>
                <w:lang w:val="en-US" w:eastAsia="zh-CN" w:bidi="ar"/>
              </w:rPr>
              <w:t>《</w:t>
            </w:r>
            <w:r>
              <w:rPr>
                <w:rFonts w:hint="eastAsia"/>
                <w:color w:val="auto"/>
                <w:sz w:val="24"/>
                <w:szCs w:val="32"/>
                <w:lang w:val="en-US" w:eastAsia="zh-CN"/>
              </w:rPr>
              <w:t>废塑料回收与再生利用污染控制技术规范</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p>
          <w:p>
            <w:pPr>
              <w:pStyle w:val="29"/>
              <w:numPr>
                <w:ilvl w:val="0"/>
                <w:numId w:val="0"/>
              </w:numPr>
              <w:rPr>
                <w:rFonts w:hint="default"/>
                <w:color w:val="auto"/>
                <w:lang w:val="en-US" w:eastAsia="zh-CN"/>
              </w:rPr>
            </w:pPr>
          </w:p>
          <w:p>
            <w:pPr>
              <w:spacing w:line="360" w:lineRule="auto"/>
              <w:rPr>
                <w:rFonts w:hint="eastAsia" w:ascii="Times New Roman" w:hAnsi="Times New Roman"/>
                <w:b/>
                <w:bCs/>
                <w:color w:val="auto"/>
                <w:sz w:val="24"/>
                <w:szCs w:val="24"/>
              </w:rPr>
            </w:pPr>
            <w:r>
              <w:rPr>
                <w:rFonts w:hint="eastAsia" w:ascii="宋体" w:hAnsi="宋体"/>
                <w:b/>
                <w:bCs/>
                <w:color w:val="auto"/>
                <w:sz w:val="24"/>
                <w:szCs w:val="24"/>
                <w:lang w:val="en-US" w:eastAsia="zh-CN"/>
              </w:rPr>
              <w:t>十、</w:t>
            </w:r>
            <w:r>
              <w:rPr>
                <w:rFonts w:hint="eastAsia" w:ascii="宋体" w:hAnsi="宋体"/>
                <w:b/>
                <w:bCs/>
                <w:color w:val="auto"/>
                <w:sz w:val="24"/>
                <w:szCs w:val="24"/>
              </w:rPr>
              <w:t>与《废塑料加工利用污染防治管理规定》符合性分析</w:t>
            </w:r>
          </w:p>
          <w:p>
            <w:pPr>
              <w:spacing w:line="360" w:lineRule="auto"/>
              <w:ind w:firstLine="480" w:firstLineChars="200"/>
              <w:rPr>
                <w:rFonts w:ascii="宋体" w:hAnsi="宋体"/>
                <w:color w:val="auto"/>
                <w:sz w:val="24"/>
                <w:szCs w:val="24"/>
              </w:rPr>
            </w:pPr>
            <w:r>
              <w:rPr>
                <w:rFonts w:ascii="宋体" w:hAnsi="宋体"/>
                <w:color w:val="auto"/>
                <w:sz w:val="24"/>
                <w:szCs w:val="24"/>
              </w:rPr>
              <w:t>根据《废塑料加工利用污染防治管理规定》</w:t>
            </w:r>
            <w:r>
              <w:rPr>
                <w:rFonts w:hint="eastAsia" w:ascii="宋体" w:hAnsi="宋体"/>
                <w:color w:val="auto"/>
                <w:sz w:val="24"/>
                <w:szCs w:val="24"/>
                <w:lang w:eastAsia="zh-CN"/>
              </w:rPr>
              <w:t>：</w:t>
            </w:r>
            <w:r>
              <w:rPr>
                <w:rFonts w:ascii="宋体" w:hAnsi="宋体"/>
                <w:color w:val="auto"/>
                <w:sz w:val="24"/>
                <w:szCs w:val="24"/>
              </w:rPr>
              <w:t>废塑料加工利用必须符合国家相关产业政策规定及《废塑料回收与再生利用污染控制技术规范》，防止二次污染。禁止在居民区加工利用废塑料。禁止利用废塑料生产厚度小于</w:t>
            </w:r>
            <w:r>
              <w:rPr>
                <w:rFonts w:ascii="Times New Roman" w:hAnsi="Times New Roman"/>
                <w:color w:val="auto"/>
                <w:sz w:val="24"/>
                <w:szCs w:val="24"/>
              </w:rPr>
              <w:t>0.025mm</w:t>
            </w:r>
            <w:r>
              <w:rPr>
                <w:rFonts w:ascii="宋体" w:hAnsi="宋体"/>
                <w:color w:val="auto"/>
                <w:sz w:val="24"/>
                <w:szCs w:val="24"/>
              </w:rPr>
              <w:t>的超薄塑料购物袋和厚度小于</w:t>
            </w:r>
            <w:r>
              <w:rPr>
                <w:rFonts w:ascii="Times New Roman" w:hAnsi="Times New Roman"/>
                <w:color w:val="auto"/>
                <w:sz w:val="24"/>
                <w:szCs w:val="24"/>
              </w:rPr>
              <w:t>0.015mm</w:t>
            </w:r>
            <w:r>
              <w:rPr>
                <w:rFonts w:ascii="宋体" w:hAnsi="宋体"/>
                <w:color w:val="auto"/>
                <w:sz w:val="24"/>
                <w:szCs w:val="24"/>
              </w:rPr>
              <w:t>超薄塑料袋。禁止利用废塑料生产食品用塑料袋。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料淘洗、废塑料退镀（涂）、盐卤分拣等加工活动。</w:t>
            </w:r>
          </w:p>
          <w:p>
            <w:pPr>
              <w:spacing w:line="360" w:lineRule="auto"/>
              <w:ind w:firstLine="480" w:firstLineChars="200"/>
              <w:rPr>
                <w:rFonts w:ascii="Times New Roman" w:hAnsi="Times New Roman"/>
                <w:color w:val="auto"/>
                <w:sz w:val="24"/>
                <w:szCs w:val="24"/>
              </w:rPr>
            </w:pPr>
            <w:r>
              <w:rPr>
                <w:rFonts w:hint="eastAsia" w:ascii="宋体" w:hAnsi="宋体"/>
                <w:color w:val="auto"/>
                <w:sz w:val="24"/>
                <w:szCs w:val="24"/>
              </w:rPr>
              <w:t>废塑料加工利用单位应当以环境无害化方式处理废塑料加工利用过程产生的残余垃圾、滤网；禁止交不符合环保要求的单位或个人处置。禁止露天焚烧废塑料及加工利用过程产生的残余垃圾、滤网。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ascii="宋体" w:hAnsi="宋体"/>
                <w:color w:val="auto"/>
                <w:sz w:val="24"/>
                <w:szCs w:val="24"/>
              </w:rPr>
              <w:t>本项目严格按照《废塑料回收与再生利用污染控制技术规范（试行）》执行，防止二次污染。</w:t>
            </w:r>
            <w:r>
              <w:rPr>
                <w:rFonts w:hint="eastAsia" w:ascii="宋体" w:hAnsi="宋体"/>
                <w:color w:val="auto"/>
                <w:sz w:val="24"/>
                <w:szCs w:val="24"/>
              </w:rPr>
              <w:t>项目位于工业园区内，生产再生塑料粒，不涉及超薄塑料购物袋，食品用塑料袋，本项目回收的废旧塑料不涉及危险化学品、农药等污染的废弃塑料包装物，废弃的一次性医疗用塑料制品（如输液器、血袋）等。本项目生产废水经自建污水处理站处理并循环使用。</w:t>
            </w:r>
            <w:r>
              <w:rPr>
                <w:rFonts w:hint="eastAsia" w:ascii="Times New Roman" w:hAnsi="Times New Roman" w:eastAsia="宋体" w:cs="Times New Roman"/>
                <w:color w:val="auto"/>
                <w:sz w:val="24"/>
                <w:szCs w:val="24"/>
                <w:vertAlign w:val="baseline"/>
                <w:lang w:val="en-US" w:eastAsia="zh-CN"/>
              </w:rPr>
              <w:t>本项目废滤网交由厂家回收使用，不涉及焚烧</w:t>
            </w:r>
            <w:r>
              <w:rPr>
                <w:rFonts w:hint="default" w:ascii="Times New Roman" w:hAnsi="Times New Roman" w:eastAsia="宋体" w:cs="Times New Roman"/>
                <w:i w:val="0"/>
                <w:iCs w:val="0"/>
                <w:caps w:val="0"/>
                <w:color w:val="auto"/>
                <w:spacing w:val="0"/>
                <w:sz w:val="24"/>
                <w:szCs w:val="24"/>
                <w:shd w:val="clear" w:color="auto" w:fill="FFFFFF"/>
              </w:rPr>
              <w:t>废塑料及加工利用过程产生的残余垃圾、滤网</w:t>
            </w:r>
            <w:r>
              <w:rPr>
                <w:rFonts w:hint="eastAsia" w:ascii="Times New Roman" w:hAnsi="Times New Roman" w:eastAsia="宋体" w:cs="Times New Roman"/>
                <w:color w:val="auto"/>
                <w:sz w:val="24"/>
                <w:szCs w:val="24"/>
                <w:vertAlign w:val="baseline"/>
                <w:lang w:val="en-US" w:eastAsia="zh-CN"/>
              </w:rPr>
              <w:t>。</w:t>
            </w:r>
            <w:r>
              <w:rPr>
                <w:rFonts w:ascii="宋体" w:hAnsi="宋体"/>
                <w:color w:val="auto"/>
                <w:sz w:val="24"/>
                <w:szCs w:val="24"/>
              </w:rPr>
              <w:t>故项目符合《废塑料加工利用污染防治管理规定》。</w:t>
            </w:r>
          </w:p>
          <w:p>
            <w:pPr>
              <w:pStyle w:val="5"/>
              <w:adjustRightInd w:val="0"/>
              <w:rPr>
                <w:rFonts w:hint="eastAsia" w:ascii="宋体" w:hAnsi="宋体"/>
                <w:bCs w:val="0"/>
                <w:color w:val="auto"/>
                <w:sz w:val="24"/>
                <w:szCs w:val="24"/>
              </w:rPr>
            </w:pPr>
            <w:r>
              <w:rPr>
                <w:rFonts w:hint="eastAsia" w:ascii="宋体" w:hAnsi="宋体"/>
                <w:bCs w:val="0"/>
                <w:color w:val="auto"/>
                <w:sz w:val="24"/>
                <w:szCs w:val="24"/>
                <w:lang w:val="en-US" w:eastAsia="zh-CN"/>
              </w:rPr>
              <w:t>十一、</w:t>
            </w:r>
            <w:r>
              <w:rPr>
                <w:rFonts w:hint="eastAsia" w:ascii="宋体" w:hAnsi="宋体"/>
                <w:bCs w:val="0"/>
                <w:color w:val="auto"/>
                <w:sz w:val="24"/>
                <w:szCs w:val="24"/>
              </w:rPr>
              <w:t>产业政策符合性分析</w:t>
            </w:r>
          </w:p>
          <w:p>
            <w:pPr>
              <w:pStyle w:val="5"/>
              <w:keepNext/>
              <w:keepLines/>
              <w:pageBreakBefore w:val="0"/>
              <w:widowControl w:val="0"/>
              <w:kinsoku/>
              <w:wordWrap/>
              <w:overflowPunct/>
              <w:topLinePunct w:val="0"/>
              <w:autoSpaceDE/>
              <w:autoSpaceDN/>
              <w:bidi w:val="0"/>
              <w:adjustRightInd w:val="0"/>
              <w:snapToGrid/>
              <w:ind w:firstLine="480" w:firstLineChars="20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根据《国民经济行业分类》（GB/T 4754-2017），本项目属于“C4220 非金属废料和碎屑加工处理”。根据《产业结构调整指导目录（2019年本）》，本项目属“鼓励类”中“27、废旧木材、废旧电器电子产品、废印刷电路板、废旧电池、废旧船舶、废旧农机、废塑料、废旧纺织品及纺织废料和边角料、废（碎）玻璃、废橡胶、废弃油脂等废旧物资等资源循环再利用技术、设备开发及应用”中废塑料循环再利用技术建设项目。同时，本项目采用的生产设备不属于淘汰类、限制类设备。符合相关法律法规和政策规定，因此拟建项目符合国家现行产业政策。</w:t>
            </w:r>
          </w:p>
          <w:p>
            <w:pPr>
              <w:pStyle w:val="5"/>
              <w:keepNext/>
              <w:keepLines/>
              <w:pageBreakBefore w:val="0"/>
              <w:widowControl w:val="0"/>
              <w:kinsoku/>
              <w:wordWrap/>
              <w:overflowPunct/>
              <w:topLinePunct w:val="0"/>
              <w:autoSpaceDE/>
              <w:autoSpaceDN/>
              <w:bidi w:val="0"/>
              <w:adjustRightInd w:val="0"/>
              <w:snapToGrid/>
              <w:ind w:firstLine="480" w:firstLineChars="20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本项目已于202</w:t>
            </w:r>
            <w:r>
              <w:rPr>
                <w:rFonts w:hint="default" w:ascii="Times New Roman" w:hAnsi="Times New Roman" w:cs="Times New Roman"/>
                <w:b w:val="0"/>
                <w:bCs/>
                <w:color w:val="auto"/>
                <w:sz w:val="24"/>
                <w:szCs w:val="24"/>
                <w:lang w:val="en-US" w:eastAsia="zh-CN"/>
              </w:rPr>
              <w:t>2</w:t>
            </w:r>
            <w:r>
              <w:rPr>
                <w:rFonts w:hint="default" w:ascii="Times New Roman" w:hAnsi="Times New Roman" w:cs="Times New Roman"/>
                <w:b w:val="0"/>
                <w:bCs/>
                <w:color w:val="auto"/>
                <w:sz w:val="24"/>
                <w:szCs w:val="24"/>
              </w:rPr>
              <w:t>年</w:t>
            </w:r>
            <w:r>
              <w:rPr>
                <w:rFonts w:hint="default" w:ascii="Times New Roman" w:hAnsi="Times New Roman" w:cs="Times New Roman"/>
                <w:b w:val="0"/>
                <w:bCs/>
                <w:color w:val="auto"/>
                <w:sz w:val="24"/>
                <w:szCs w:val="24"/>
                <w:lang w:val="en-US" w:eastAsia="zh-CN"/>
              </w:rPr>
              <w:t>3</w:t>
            </w:r>
            <w:r>
              <w:rPr>
                <w:rFonts w:hint="default" w:ascii="Times New Roman" w:hAnsi="Times New Roman" w:cs="Times New Roman"/>
                <w:b w:val="0"/>
                <w:bCs/>
                <w:color w:val="auto"/>
                <w:sz w:val="24"/>
                <w:szCs w:val="24"/>
              </w:rPr>
              <w:t>月</w:t>
            </w:r>
            <w:r>
              <w:rPr>
                <w:rFonts w:hint="default" w:ascii="Times New Roman" w:hAnsi="Times New Roman" w:cs="Times New Roman"/>
                <w:b w:val="0"/>
                <w:bCs/>
                <w:color w:val="auto"/>
                <w:sz w:val="24"/>
                <w:szCs w:val="24"/>
                <w:lang w:val="en-US" w:eastAsia="zh-CN"/>
              </w:rPr>
              <w:t>28</w:t>
            </w:r>
            <w:r>
              <w:rPr>
                <w:rFonts w:hint="default" w:ascii="Times New Roman" w:hAnsi="Times New Roman" w:cs="Times New Roman"/>
                <w:b w:val="0"/>
                <w:bCs/>
                <w:color w:val="auto"/>
                <w:sz w:val="24"/>
                <w:szCs w:val="24"/>
              </w:rPr>
              <w:t>日在犍为县经济和信息化局完成了备案，备案号：川投资备【2203-511123-07-02-645351】JXQB-0046号（详见附件2）。</w:t>
            </w:r>
          </w:p>
          <w:p>
            <w:pPr>
              <w:pStyle w:val="5"/>
              <w:keepNext/>
              <w:keepLines/>
              <w:pageBreakBefore w:val="0"/>
              <w:widowControl w:val="0"/>
              <w:kinsoku/>
              <w:wordWrap/>
              <w:overflowPunct/>
              <w:topLinePunct w:val="0"/>
              <w:autoSpaceDE/>
              <w:autoSpaceDN/>
              <w:bidi w:val="0"/>
              <w:adjustRightInd w:val="0"/>
              <w:snapToGrid/>
              <w:ind w:firstLine="480" w:firstLineChars="20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综上所述，本项目符合国家现行产业政策。</w:t>
            </w:r>
          </w:p>
          <w:p>
            <w:pPr>
              <w:pStyle w:val="5"/>
              <w:adjustRightInd w:val="0"/>
              <w:rPr>
                <w:rFonts w:ascii="Times New Roman" w:hAnsi="Times New Roman"/>
                <w:color w:val="auto"/>
                <w:sz w:val="24"/>
                <w:szCs w:val="24"/>
              </w:rPr>
            </w:pPr>
            <w:r>
              <w:rPr>
                <w:rFonts w:hint="eastAsia" w:ascii="宋体" w:hAnsi="宋体"/>
                <w:bCs w:val="0"/>
                <w:color w:val="auto"/>
                <w:sz w:val="24"/>
                <w:szCs w:val="24"/>
                <w:lang w:val="en-US" w:eastAsia="zh-CN"/>
              </w:rPr>
              <w:t>十二、</w:t>
            </w:r>
            <w:r>
              <w:rPr>
                <w:rFonts w:hint="eastAsia" w:ascii="宋体" w:hAnsi="宋体"/>
                <w:bCs w:val="0"/>
                <w:color w:val="auto"/>
                <w:sz w:val="24"/>
                <w:szCs w:val="24"/>
              </w:rPr>
              <w:t>项目建设选址符合性</w:t>
            </w:r>
            <w:r>
              <w:rPr>
                <w:rFonts w:hint="eastAsia" w:ascii="宋体" w:hAnsi="宋体"/>
                <w:bCs w:val="0"/>
                <w:color w:val="auto"/>
                <w:sz w:val="24"/>
                <w:szCs w:val="24"/>
                <w:lang w:eastAsia="zh-CN"/>
              </w:rPr>
              <w:t>及相容性</w:t>
            </w:r>
            <w:r>
              <w:rPr>
                <w:rFonts w:hint="eastAsia" w:ascii="宋体" w:hAnsi="宋体"/>
                <w:bCs w:val="0"/>
                <w:color w:val="auto"/>
                <w:sz w:val="24"/>
                <w:szCs w:val="24"/>
              </w:rPr>
              <w:t>分析</w:t>
            </w:r>
          </w:p>
          <w:p>
            <w:pPr>
              <w:spacing w:line="360" w:lineRule="auto"/>
              <w:ind w:firstLine="482" w:firstLineChars="200"/>
              <w:rPr>
                <w:rFonts w:ascii="Times New Roman" w:hAnsi="Times New Roman"/>
                <w:b/>
                <w:bCs/>
                <w:color w:val="auto"/>
                <w:sz w:val="24"/>
                <w:szCs w:val="24"/>
              </w:rPr>
            </w:pPr>
            <w:r>
              <w:rPr>
                <w:rFonts w:hint="eastAsia" w:ascii="宋体" w:hAnsi="宋体"/>
                <w:b/>
                <w:bCs/>
                <w:color w:val="auto"/>
                <w:sz w:val="24"/>
                <w:szCs w:val="24"/>
              </w:rPr>
              <w:t>（</w:t>
            </w:r>
            <w:r>
              <w:rPr>
                <w:rFonts w:hint="eastAsia" w:ascii="Times New Roman" w:hAnsi="Times New Roman"/>
                <w:b/>
                <w:bCs/>
                <w:color w:val="auto"/>
                <w:sz w:val="24"/>
                <w:szCs w:val="24"/>
              </w:rPr>
              <w:t>1</w:t>
            </w:r>
            <w:r>
              <w:rPr>
                <w:rFonts w:hint="eastAsia" w:ascii="宋体" w:hAnsi="宋体"/>
                <w:b/>
                <w:bCs/>
                <w:color w:val="auto"/>
                <w:sz w:val="24"/>
                <w:szCs w:val="24"/>
              </w:rPr>
              <w:t>）选址合理性分析</w:t>
            </w:r>
          </w:p>
          <w:p>
            <w:pPr>
              <w:spacing w:line="360" w:lineRule="auto"/>
              <w:ind w:firstLine="480" w:firstLineChars="200"/>
              <w:rPr>
                <w:rFonts w:ascii="Times New Roman" w:hAnsi="Times New Roman"/>
                <w:color w:val="auto"/>
                <w:sz w:val="24"/>
                <w:szCs w:val="24"/>
              </w:rPr>
            </w:pPr>
            <w:r>
              <w:rPr>
                <w:rFonts w:ascii="宋体" w:hAnsi="宋体"/>
                <w:color w:val="auto"/>
                <w:sz w:val="24"/>
                <w:szCs w:val="24"/>
              </w:rPr>
              <w:t>本项目位于乐山市犍为县</w:t>
            </w:r>
            <w:r>
              <w:rPr>
                <w:rFonts w:hint="eastAsia" w:ascii="宋体" w:hAnsi="宋体"/>
                <w:color w:val="auto"/>
                <w:sz w:val="24"/>
                <w:szCs w:val="24"/>
              </w:rPr>
              <w:t>舞雩镇</w:t>
            </w:r>
            <w:r>
              <w:rPr>
                <w:rFonts w:ascii="宋体" w:hAnsi="宋体"/>
                <w:color w:val="auto"/>
                <w:sz w:val="24"/>
                <w:szCs w:val="24"/>
              </w:rPr>
              <w:t>石马坝工业园区内，不在自然保护区、风景名胜区、饮用水源保护区和永久基本农田内，属于园区允许发展产业，与园区规划相符。本项目为技改项目，根据《新建年产</w:t>
            </w:r>
            <w:r>
              <w:rPr>
                <w:rFonts w:ascii="Times New Roman" w:hAnsi="Times New Roman"/>
                <w:color w:val="auto"/>
                <w:sz w:val="24"/>
                <w:szCs w:val="24"/>
              </w:rPr>
              <w:t>3</w:t>
            </w:r>
            <w:r>
              <w:rPr>
                <w:rFonts w:ascii="宋体" w:hAnsi="宋体"/>
                <w:color w:val="auto"/>
                <w:sz w:val="24"/>
                <w:szCs w:val="24"/>
              </w:rPr>
              <w:t>万吨再生颗粒制品项目》入驻证明，原犍为县工业集中区管理委员会同意乐山图南再生资源有限公司（原乐山思恒塑业有限责任公司）入驻；公司已与犍为县人民政府签订投资协议，同意公司入驻犍为县工业集中区中小企业孵化园（现为犍为新型工业基地石马坝组团），根据已取得的不动产权证（川（</w:t>
            </w:r>
            <w:r>
              <w:rPr>
                <w:rFonts w:ascii="Times New Roman" w:hAnsi="Times New Roman"/>
                <w:color w:val="auto"/>
                <w:sz w:val="24"/>
                <w:szCs w:val="24"/>
              </w:rPr>
              <w:t>2020</w:t>
            </w:r>
            <w:r>
              <w:rPr>
                <w:rFonts w:ascii="宋体" w:hAnsi="宋体"/>
                <w:color w:val="auto"/>
                <w:sz w:val="24"/>
                <w:szCs w:val="24"/>
              </w:rPr>
              <w:t>）犍为县不动产权第</w:t>
            </w:r>
            <w:r>
              <w:rPr>
                <w:rFonts w:ascii="Times New Roman" w:hAnsi="Times New Roman"/>
                <w:color w:val="auto"/>
                <w:sz w:val="24"/>
                <w:szCs w:val="24"/>
              </w:rPr>
              <w:t>0008799</w:t>
            </w:r>
            <w:r>
              <w:rPr>
                <w:rFonts w:ascii="宋体" w:hAnsi="宋体"/>
                <w:color w:val="auto"/>
                <w:sz w:val="24"/>
                <w:szCs w:val="24"/>
              </w:rPr>
              <w:t>号），明确用地为工业用地。本项目在现有车间内建设，不新增用地，因此，项目用地选址合理。因此，符合犍为县土地利用总体规划。</w:t>
            </w:r>
          </w:p>
          <w:p>
            <w:pPr>
              <w:keepNext w:val="0"/>
              <w:keepLines w:val="0"/>
              <w:pageBreakBefore w:val="0"/>
              <w:widowControl w:val="0"/>
              <w:kinsoku/>
              <w:wordWrap/>
              <w:overflowPunct/>
              <w:topLinePunct w:val="0"/>
              <w:bidi w:val="0"/>
              <w:snapToGrid/>
              <w:spacing w:afterAutospacing="0" w:line="360" w:lineRule="auto"/>
              <w:ind w:firstLine="482" w:firstLineChars="200"/>
              <w:rPr>
                <w:rFonts w:ascii="Times New Roman" w:hAnsi="Times New Roman"/>
                <w:b/>
                <w:bCs/>
                <w:color w:val="auto"/>
                <w:sz w:val="24"/>
                <w:szCs w:val="24"/>
              </w:rPr>
            </w:pPr>
            <w:r>
              <w:rPr>
                <w:rFonts w:hint="eastAsia" w:ascii="宋体" w:hAnsi="宋体"/>
                <w:b/>
                <w:bCs/>
                <w:color w:val="auto"/>
                <w:sz w:val="24"/>
                <w:szCs w:val="24"/>
              </w:rPr>
              <w:t>（</w:t>
            </w:r>
            <w:r>
              <w:rPr>
                <w:rFonts w:hint="eastAsia" w:ascii="Times New Roman" w:hAnsi="Times New Roman"/>
                <w:b/>
                <w:bCs/>
                <w:color w:val="auto"/>
                <w:sz w:val="24"/>
                <w:szCs w:val="24"/>
              </w:rPr>
              <w:t>2</w:t>
            </w:r>
            <w:r>
              <w:rPr>
                <w:rFonts w:hint="eastAsia" w:ascii="宋体" w:hAnsi="宋体"/>
                <w:b/>
                <w:bCs/>
                <w:color w:val="auto"/>
                <w:sz w:val="24"/>
                <w:szCs w:val="24"/>
              </w:rPr>
              <w:t>）环保选址可行性分析</w:t>
            </w:r>
          </w:p>
          <w:p>
            <w:pPr>
              <w:pStyle w:val="2"/>
              <w:keepNext w:val="0"/>
              <w:keepLines w:val="0"/>
              <w:pageBreakBefore w:val="0"/>
              <w:widowControl w:val="0"/>
              <w:kinsoku/>
              <w:wordWrap/>
              <w:overflowPunct/>
              <w:topLinePunct w:val="0"/>
              <w:bidi w:val="0"/>
              <w:snapToGrid/>
              <w:spacing w:before="0" w:after="0" w:afterAutospacing="0" w:line="360" w:lineRule="auto"/>
              <w:ind w:left="0" w:right="0" w:firstLine="472" w:firstLineChars="200"/>
              <w:rPr>
                <w:rFonts w:ascii="Times New Roman" w:hAnsi="Times New Roman" w:eastAsia="宋体" w:cs="Times New Roman"/>
                <w:color w:val="auto"/>
                <w:sz w:val="24"/>
                <w:szCs w:val="24"/>
              </w:rPr>
            </w:pPr>
            <w:r>
              <w:rPr>
                <w:rFonts w:hint="eastAsia" w:ascii="宋体" w:eastAsia="宋体"/>
                <w:color w:val="auto"/>
                <w:sz w:val="24"/>
                <w:szCs w:val="24"/>
              </w:rPr>
              <w:t>①</w:t>
            </w:r>
            <w:r>
              <w:rPr>
                <w:rFonts w:ascii="宋体" w:eastAsia="宋体" w:cs="Times New Roman"/>
                <w:color w:val="auto"/>
                <w:sz w:val="24"/>
                <w:szCs w:val="24"/>
              </w:rPr>
              <w:t>规划及用地可行性</w:t>
            </w:r>
          </w:p>
          <w:p>
            <w:pPr>
              <w:pStyle w:val="2"/>
              <w:keepNext w:val="0"/>
              <w:keepLines w:val="0"/>
              <w:pageBreakBefore w:val="0"/>
              <w:widowControl w:val="0"/>
              <w:kinsoku/>
              <w:wordWrap/>
              <w:overflowPunct/>
              <w:topLinePunct w:val="0"/>
              <w:bidi w:val="0"/>
              <w:snapToGrid/>
              <w:spacing w:before="0" w:after="0" w:afterAutospacing="0" w:line="360" w:lineRule="auto"/>
              <w:ind w:left="0" w:right="0" w:firstLine="472" w:firstLineChars="200"/>
              <w:rPr>
                <w:rFonts w:ascii="Times New Roman" w:hAnsi="Times New Roman" w:eastAsia="宋体" w:cs="Times New Roman"/>
                <w:color w:val="auto"/>
                <w:sz w:val="24"/>
                <w:szCs w:val="24"/>
              </w:rPr>
            </w:pPr>
            <w:r>
              <w:rPr>
                <w:rFonts w:ascii="宋体" w:eastAsia="宋体" w:cs="Times New Roman"/>
                <w:color w:val="auto"/>
                <w:sz w:val="24"/>
                <w:szCs w:val="24"/>
              </w:rPr>
              <w:t>本项目选址于犍为县</w:t>
            </w:r>
            <w:r>
              <w:rPr>
                <w:rFonts w:hint="eastAsia" w:ascii="宋体" w:eastAsia="宋体"/>
                <w:color w:val="auto"/>
                <w:sz w:val="24"/>
                <w:szCs w:val="24"/>
              </w:rPr>
              <w:t>舞雩镇</w:t>
            </w:r>
            <w:r>
              <w:rPr>
                <w:rFonts w:ascii="宋体" w:eastAsia="宋体" w:cs="Times New Roman"/>
                <w:color w:val="auto"/>
                <w:sz w:val="24"/>
                <w:szCs w:val="24"/>
              </w:rPr>
              <w:t>石马坝工业园区已建车间内，符合乐山市犍为县新型工业基地产业规划和规划环评要求。项目用地为工业用地，周边无自然保护区、世界文化自然遗产、地质公园等保护地以及饮用水水源保护区，无食品、药品等企业。</w:t>
            </w:r>
          </w:p>
          <w:p>
            <w:pPr>
              <w:pStyle w:val="2"/>
              <w:keepNext w:val="0"/>
              <w:keepLines w:val="0"/>
              <w:pageBreakBefore w:val="0"/>
              <w:widowControl w:val="0"/>
              <w:kinsoku/>
              <w:wordWrap/>
              <w:overflowPunct/>
              <w:topLinePunct w:val="0"/>
              <w:bidi w:val="0"/>
              <w:snapToGrid/>
              <w:spacing w:before="0" w:after="0" w:afterAutospacing="0" w:line="360" w:lineRule="auto"/>
              <w:ind w:left="0" w:right="0" w:firstLine="472" w:firstLineChars="200"/>
              <w:rPr>
                <w:rFonts w:ascii="Times New Roman" w:hAnsi="Times New Roman" w:eastAsia="宋体" w:cs="Times New Roman"/>
                <w:color w:val="auto"/>
                <w:sz w:val="24"/>
                <w:szCs w:val="24"/>
              </w:rPr>
            </w:pPr>
            <w:r>
              <w:rPr>
                <w:rFonts w:hint="eastAsia" w:ascii="宋体" w:eastAsia="宋体"/>
                <w:color w:val="auto"/>
                <w:sz w:val="24"/>
                <w:szCs w:val="24"/>
              </w:rPr>
              <w:t>②</w:t>
            </w:r>
            <w:r>
              <w:rPr>
                <w:rFonts w:ascii="宋体" w:eastAsia="宋体" w:cs="Times New Roman"/>
                <w:color w:val="auto"/>
                <w:sz w:val="24"/>
                <w:szCs w:val="24"/>
              </w:rPr>
              <w:t>外环境相容性</w:t>
            </w:r>
          </w:p>
          <w:p>
            <w:pPr>
              <w:pStyle w:val="6"/>
              <w:keepNext w:val="0"/>
              <w:keepLines w:val="0"/>
              <w:pageBreakBefore w:val="0"/>
              <w:widowControl w:val="0"/>
              <w:kinsoku/>
              <w:wordWrap/>
              <w:overflowPunct/>
              <w:topLinePunct w:val="0"/>
              <w:bidi w:val="0"/>
              <w:snapToGrid/>
              <w:spacing w:afterAutospacing="0"/>
              <w:ind w:firstLine="480" w:firstLineChars="200"/>
              <w:rPr>
                <w:rFonts w:ascii="Times New Roman" w:hAnsi="Times New Roman"/>
                <w:color w:val="auto"/>
                <w:sz w:val="24"/>
                <w:szCs w:val="24"/>
              </w:rPr>
            </w:pPr>
            <w:r>
              <w:rPr>
                <w:rFonts w:ascii="宋体" w:hAnsi="宋体"/>
                <w:color w:val="auto"/>
                <w:sz w:val="24"/>
                <w:szCs w:val="24"/>
              </w:rPr>
              <w:t>本项目位于犍为县</w:t>
            </w:r>
            <w:r>
              <w:rPr>
                <w:rFonts w:hint="eastAsia" w:ascii="宋体" w:hAnsi="宋体"/>
                <w:color w:val="auto"/>
                <w:sz w:val="24"/>
                <w:szCs w:val="24"/>
              </w:rPr>
              <w:t>舞雩镇</w:t>
            </w:r>
            <w:r>
              <w:rPr>
                <w:rFonts w:ascii="宋体" w:hAnsi="宋体"/>
                <w:color w:val="auto"/>
                <w:sz w:val="24"/>
                <w:szCs w:val="24"/>
              </w:rPr>
              <w:t>石马坝工业园区内</w:t>
            </w:r>
            <w:r>
              <w:rPr>
                <w:rFonts w:hint="eastAsia" w:ascii="宋体" w:hAnsi="宋体"/>
                <w:color w:val="auto"/>
                <w:sz w:val="24"/>
                <w:szCs w:val="24"/>
              </w:rPr>
              <w:t>（中心位置高程为</w:t>
            </w:r>
            <w:r>
              <w:rPr>
                <w:rFonts w:hint="eastAsia" w:ascii="Times New Roman" w:hAnsi="Times New Roman"/>
                <w:color w:val="auto"/>
                <w:sz w:val="24"/>
                <w:szCs w:val="24"/>
              </w:rPr>
              <w:t>+331.9m</w:t>
            </w:r>
            <w:r>
              <w:rPr>
                <w:rFonts w:hint="eastAsia" w:ascii="宋体" w:hAnsi="宋体"/>
                <w:color w:val="auto"/>
                <w:sz w:val="24"/>
                <w:szCs w:val="24"/>
              </w:rPr>
              <w:t>）</w:t>
            </w:r>
            <w:r>
              <w:rPr>
                <w:rFonts w:ascii="宋体" w:hAnsi="宋体"/>
                <w:color w:val="auto"/>
                <w:sz w:val="24"/>
                <w:szCs w:val="24"/>
              </w:rPr>
              <w:t>，地处工业园区，距犍为县城直线距离约</w:t>
            </w:r>
            <w:r>
              <w:rPr>
                <w:rFonts w:ascii="Times New Roman" w:hAnsi="Times New Roman"/>
                <w:color w:val="auto"/>
                <w:sz w:val="24"/>
                <w:szCs w:val="24"/>
              </w:rPr>
              <w:t>7.5km</w:t>
            </w:r>
            <w:r>
              <w:rPr>
                <w:rFonts w:ascii="宋体" w:hAnsi="宋体"/>
                <w:color w:val="auto"/>
                <w:sz w:val="24"/>
                <w:szCs w:val="24"/>
              </w:rPr>
              <w:t>，距石溪镇直线距离约</w:t>
            </w:r>
            <w:r>
              <w:rPr>
                <w:rFonts w:ascii="Times New Roman" w:hAnsi="Times New Roman"/>
                <w:color w:val="auto"/>
                <w:sz w:val="24"/>
                <w:szCs w:val="24"/>
              </w:rPr>
              <w:t>1.7km</w:t>
            </w:r>
            <w:r>
              <w:rPr>
                <w:rFonts w:ascii="宋体" w:hAnsi="宋体"/>
                <w:color w:val="auto"/>
                <w:sz w:val="24"/>
                <w:szCs w:val="24"/>
              </w:rPr>
              <w:t>。项目周边外环境关系如下：</w:t>
            </w:r>
          </w:p>
          <w:p>
            <w:pPr>
              <w:pStyle w:val="6"/>
              <w:keepNext w:val="0"/>
              <w:keepLines w:val="0"/>
              <w:pageBreakBefore w:val="0"/>
              <w:widowControl w:val="0"/>
              <w:kinsoku/>
              <w:wordWrap/>
              <w:overflowPunct/>
              <w:topLinePunct w:val="0"/>
              <w:bidi w:val="0"/>
              <w:snapToGrid/>
              <w:spacing w:afterAutospacing="0"/>
              <w:ind w:firstLine="482" w:firstLineChars="200"/>
              <w:rPr>
                <w:rFonts w:ascii="Times New Roman" w:hAnsi="Times New Roman"/>
                <w:color w:val="auto"/>
                <w:sz w:val="24"/>
                <w:szCs w:val="24"/>
              </w:rPr>
            </w:pPr>
            <w:r>
              <w:rPr>
                <w:rFonts w:ascii="宋体" w:hAnsi="宋体"/>
                <w:b/>
                <w:bCs/>
                <w:color w:val="auto"/>
                <w:sz w:val="24"/>
                <w:szCs w:val="24"/>
              </w:rPr>
              <w:t>北侧：</w:t>
            </w:r>
            <w:r>
              <w:rPr>
                <w:rFonts w:ascii="宋体" w:hAnsi="宋体"/>
                <w:color w:val="auto"/>
                <w:sz w:val="24"/>
                <w:szCs w:val="24"/>
              </w:rPr>
              <w:t>紧邻园区内部道路，</w:t>
            </w:r>
            <w:r>
              <w:rPr>
                <w:rFonts w:ascii="Times New Roman" w:hAnsi="Times New Roman"/>
                <w:color w:val="auto"/>
                <w:sz w:val="24"/>
                <w:szCs w:val="24"/>
              </w:rPr>
              <w:t>20m</w:t>
            </w:r>
            <w:r>
              <w:rPr>
                <w:rFonts w:ascii="宋体" w:hAnsi="宋体"/>
                <w:color w:val="auto"/>
                <w:sz w:val="24"/>
                <w:szCs w:val="24"/>
              </w:rPr>
              <w:t>处为犍为县久源塑料制品有限公司（塑料制品生产销售</w:t>
            </w:r>
            <w:r>
              <w:rPr>
                <w:rFonts w:hint="eastAsia" w:ascii="宋体" w:hAnsi="宋体"/>
                <w:color w:val="auto"/>
                <w:sz w:val="24"/>
                <w:szCs w:val="24"/>
              </w:rPr>
              <w:t>，高程</w:t>
            </w:r>
            <w:r>
              <w:rPr>
                <w:rFonts w:hint="eastAsia" w:ascii="Times New Roman" w:hAnsi="Times New Roman"/>
                <w:color w:val="auto"/>
                <w:sz w:val="24"/>
                <w:szCs w:val="24"/>
              </w:rPr>
              <w:t>+332.4m</w:t>
            </w:r>
            <w:r>
              <w:rPr>
                <w:rFonts w:ascii="宋体" w:hAnsi="宋体"/>
                <w:color w:val="auto"/>
                <w:sz w:val="24"/>
                <w:szCs w:val="24"/>
              </w:rPr>
              <w:t>），</w:t>
            </w:r>
            <w:r>
              <w:rPr>
                <w:rFonts w:ascii="Times New Roman" w:hAnsi="Times New Roman"/>
                <w:color w:val="auto"/>
                <w:sz w:val="24"/>
                <w:szCs w:val="24"/>
              </w:rPr>
              <w:t>152m</w:t>
            </w:r>
            <w:r>
              <w:rPr>
                <w:rFonts w:ascii="宋体" w:hAnsi="宋体"/>
                <w:color w:val="auto"/>
                <w:sz w:val="24"/>
                <w:szCs w:val="24"/>
              </w:rPr>
              <w:t>处为犍为中恒再生资源有限公司（加工销售废旧塑料、再生塑料</w:t>
            </w:r>
            <w:r>
              <w:rPr>
                <w:rFonts w:hint="eastAsia" w:ascii="宋体" w:hAnsi="宋体"/>
                <w:color w:val="auto"/>
                <w:sz w:val="24"/>
                <w:szCs w:val="24"/>
              </w:rPr>
              <w:t>，高程</w:t>
            </w:r>
            <w:r>
              <w:rPr>
                <w:rFonts w:hint="eastAsia" w:ascii="Times New Roman" w:hAnsi="Times New Roman"/>
                <w:color w:val="auto"/>
                <w:sz w:val="24"/>
                <w:szCs w:val="24"/>
              </w:rPr>
              <w:t>+332.4m</w:t>
            </w:r>
            <w:r>
              <w:rPr>
                <w:rFonts w:ascii="宋体" w:hAnsi="宋体"/>
                <w:color w:val="auto"/>
                <w:sz w:val="24"/>
                <w:szCs w:val="24"/>
              </w:rPr>
              <w:t>），</w:t>
            </w:r>
            <w:r>
              <w:rPr>
                <w:rFonts w:ascii="Times New Roman" w:hAnsi="Times New Roman"/>
                <w:color w:val="auto"/>
                <w:sz w:val="24"/>
                <w:szCs w:val="24"/>
              </w:rPr>
              <w:t>385m</w:t>
            </w:r>
            <w:r>
              <w:rPr>
                <w:rFonts w:ascii="宋体" w:hAnsi="宋体"/>
                <w:color w:val="auto"/>
                <w:sz w:val="24"/>
                <w:szCs w:val="24"/>
              </w:rPr>
              <w:t>处为四川乔丰新材料科技有限公司（保温墙体材料生产销售</w:t>
            </w:r>
            <w:r>
              <w:rPr>
                <w:rFonts w:hint="eastAsia" w:ascii="宋体" w:hAnsi="宋体"/>
                <w:color w:val="auto"/>
                <w:sz w:val="24"/>
                <w:szCs w:val="24"/>
              </w:rPr>
              <w:t>，高程</w:t>
            </w:r>
            <w:r>
              <w:rPr>
                <w:rFonts w:hint="eastAsia" w:ascii="Times New Roman" w:hAnsi="Times New Roman"/>
                <w:color w:val="auto"/>
                <w:sz w:val="24"/>
                <w:szCs w:val="24"/>
              </w:rPr>
              <w:t>+332.3m</w:t>
            </w:r>
            <w:r>
              <w:rPr>
                <w:rFonts w:ascii="宋体" w:hAnsi="宋体"/>
                <w:color w:val="auto"/>
                <w:sz w:val="24"/>
                <w:szCs w:val="24"/>
              </w:rPr>
              <w:t>），</w:t>
            </w:r>
            <w:r>
              <w:rPr>
                <w:rFonts w:ascii="Times New Roman" w:hAnsi="Times New Roman"/>
                <w:color w:val="auto"/>
                <w:sz w:val="24"/>
                <w:szCs w:val="24"/>
              </w:rPr>
              <w:t>298m</w:t>
            </w:r>
            <w:r>
              <w:rPr>
                <w:rFonts w:ascii="宋体" w:hAnsi="宋体"/>
                <w:color w:val="auto"/>
                <w:sz w:val="24"/>
                <w:szCs w:val="24"/>
              </w:rPr>
              <w:t>处为四川乔丰能源有限公司（原煤洗选加工</w:t>
            </w:r>
            <w:r>
              <w:rPr>
                <w:rFonts w:hint="eastAsia" w:ascii="宋体" w:hAnsi="宋体"/>
                <w:color w:val="auto"/>
                <w:sz w:val="24"/>
                <w:szCs w:val="24"/>
              </w:rPr>
              <w:t>，高程</w:t>
            </w:r>
            <w:r>
              <w:rPr>
                <w:rFonts w:hint="eastAsia" w:ascii="Times New Roman" w:hAnsi="Times New Roman"/>
                <w:color w:val="auto"/>
                <w:sz w:val="24"/>
                <w:szCs w:val="24"/>
              </w:rPr>
              <w:t>+333.4m</w:t>
            </w:r>
            <w:r>
              <w:rPr>
                <w:rFonts w:ascii="宋体" w:hAnsi="宋体"/>
                <w:color w:val="auto"/>
                <w:sz w:val="24"/>
                <w:szCs w:val="24"/>
              </w:rPr>
              <w:t>），</w:t>
            </w:r>
            <w:r>
              <w:rPr>
                <w:rFonts w:ascii="Times New Roman" w:hAnsi="Times New Roman"/>
                <w:color w:val="auto"/>
                <w:sz w:val="24"/>
                <w:szCs w:val="24"/>
              </w:rPr>
              <w:t>403m</w:t>
            </w:r>
            <w:r>
              <w:rPr>
                <w:rFonts w:ascii="宋体" w:hAnsi="宋体"/>
                <w:color w:val="auto"/>
                <w:sz w:val="24"/>
                <w:szCs w:val="24"/>
              </w:rPr>
              <w:t>处为大湾幼儿园</w:t>
            </w:r>
            <w:r>
              <w:rPr>
                <w:rFonts w:hint="eastAsia" w:ascii="宋体" w:hAnsi="宋体"/>
                <w:color w:val="auto"/>
                <w:sz w:val="24"/>
                <w:szCs w:val="24"/>
              </w:rPr>
              <w:t>（高程</w:t>
            </w:r>
            <w:r>
              <w:rPr>
                <w:rFonts w:hint="eastAsia" w:ascii="Times New Roman" w:hAnsi="Times New Roman"/>
                <w:color w:val="auto"/>
                <w:sz w:val="24"/>
                <w:szCs w:val="24"/>
              </w:rPr>
              <w:t>+338.3m</w:t>
            </w:r>
            <w:r>
              <w:rPr>
                <w:rFonts w:hint="eastAsia" w:ascii="宋体" w:hAnsi="宋体"/>
                <w:color w:val="auto"/>
                <w:sz w:val="24"/>
                <w:szCs w:val="24"/>
              </w:rPr>
              <w:t>）</w:t>
            </w:r>
            <w:r>
              <w:rPr>
                <w:rFonts w:ascii="宋体" w:hAnsi="宋体"/>
                <w:color w:val="auto"/>
                <w:sz w:val="24"/>
                <w:szCs w:val="24"/>
              </w:rPr>
              <w:t>，</w:t>
            </w:r>
            <w:r>
              <w:rPr>
                <w:rFonts w:ascii="Times New Roman" w:hAnsi="Times New Roman"/>
                <w:color w:val="auto"/>
                <w:sz w:val="24"/>
                <w:szCs w:val="24"/>
              </w:rPr>
              <w:t>487m</w:t>
            </w:r>
            <w:r>
              <w:rPr>
                <w:rFonts w:ascii="宋体" w:hAnsi="宋体"/>
                <w:color w:val="auto"/>
                <w:sz w:val="24"/>
                <w:szCs w:val="24"/>
              </w:rPr>
              <w:t>处为犍为县南岸机械厂（机械配件加工销售</w:t>
            </w:r>
            <w:r>
              <w:rPr>
                <w:rFonts w:hint="eastAsia" w:ascii="宋体" w:hAnsi="宋体"/>
                <w:color w:val="auto"/>
                <w:sz w:val="24"/>
                <w:szCs w:val="24"/>
              </w:rPr>
              <w:t>，高程</w:t>
            </w:r>
            <w:r>
              <w:rPr>
                <w:rFonts w:hint="eastAsia" w:ascii="Times New Roman" w:hAnsi="Times New Roman"/>
                <w:color w:val="auto"/>
                <w:sz w:val="24"/>
                <w:szCs w:val="24"/>
              </w:rPr>
              <w:t>+333.6m</w:t>
            </w:r>
            <w:r>
              <w:rPr>
                <w:rFonts w:ascii="宋体" w:hAnsi="宋体"/>
                <w:color w:val="auto"/>
                <w:sz w:val="24"/>
                <w:szCs w:val="24"/>
              </w:rPr>
              <w:t>）；</w:t>
            </w:r>
          </w:p>
          <w:p>
            <w:pPr>
              <w:pStyle w:val="6"/>
              <w:keepNext w:val="0"/>
              <w:keepLines w:val="0"/>
              <w:pageBreakBefore w:val="0"/>
              <w:widowControl w:val="0"/>
              <w:kinsoku/>
              <w:wordWrap/>
              <w:overflowPunct/>
              <w:topLinePunct w:val="0"/>
              <w:bidi w:val="0"/>
              <w:snapToGrid/>
              <w:spacing w:afterAutospacing="0"/>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西北侧：</w:t>
            </w:r>
            <w:r>
              <w:rPr>
                <w:rFonts w:hint="default" w:ascii="Times New Roman" w:hAnsi="Times New Roman" w:cs="Times New Roman"/>
                <w:color w:val="auto"/>
                <w:sz w:val="24"/>
                <w:szCs w:val="24"/>
              </w:rPr>
              <w:t>紧邻园区内部道路，28m处为乐山鸿鑫塑业科技有限责任公司（塑料打包袋研发，塑料加工，高程+332.3m），90m处为乐山市华辰陶瓷纤维制品有限公司（陶瓷纤维、玻璃纤维、保温材料生产销售，高程+332.5m）；</w:t>
            </w:r>
          </w:p>
          <w:p>
            <w:pPr>
              <w:pStyle w:val="6"/>
              <w:keepNext w:val="0"/>
              <w:keepLines w:val="0"/>
              <w:pageBreakBefore w:val="0"/>
              <w:widowControl w:val="0"/>
              <w:kinsoku/>
              <w:wordWrap/>
              <w:overflowPunct/>
              <w:topLinePunct w:val="0"/>
              <w:bidi w:val="0"/>
              <w:snapToGrid/>
              <w:spacing w:afterAutospacing="0"/>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西侧：</w:t>
            </w:r>
            <w:r>
              <w:rPr>
                <w:rFonts w:hint="default" w:ascii="Times New Roman" w:hAnsi="Times New Roman" w:cs="Times New Roman"/>
                <w:color w:val="auto"/>
                <w:sz w:val="24"/>
                <w:szCs w:val="24"/>
              </w:rPr>
              <w:t>与四川乐犍再生资源回收利用有限公司（废旧金属制品、汽车轮胎塑料制品及其他再生资源的回收加工，高程+332.3m）相邻，255m处为安置房（高程+336.6m），295m处为石马村/石马卫生室（约1200人，高程+337.8m）；</w:t>
            </w:r>
          </w:p>
          <w:p>
            <w:pPr>
              <w:pStyle w:val="6"/>
              <w:keepNext w:val="0"/>
              <w:keepLines w:val="0"/>
              <w:pageBreakBefore w:val="0"/>
              <w:widowControl w:val="0"/>
              <w:kinsoku/>
              <w:wordWrap/>
              <w:overflowPunct/>
              <w:topLinePunct w:val="0"/>
              <w:bidi w:val="0"/>
              <w:snapToGrid/>
              <w:spacing w:afterAutospacing="0"/>
              <w:ind w:firstLine="482"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b/>
                <w:bCs/>
                <w:color w:val="auto"/>
                <w:sz w:val="24"/>
                <w:szCs w:val="24"/>
              </w:rPr>
              <w:t>西南侧：</w:t>
            </w:r>
            <w:r>
              <w:rPr>
                <w:rFonts w:hint="default" w:ascii="Times New Roman" w:hAnsi="Times New Roman" w:cs="Times New Roman"/>
                <w:color w:val="auto"/>
                <w:sz w:val="24"/>
                <w:szCs w:val="24"/>
              </w:rPr>
              <w:t>1.1km处为岷江（高程+322.4m）</w:t>
            </w:r>
            <w:r>
              <w:rPr>
                <w:rFonts w:hint="default" w:ascii="Times New Roman" w:hAnsi="Times New Roman" w:cs="Times New Roman"/>
                <w:color w:val="auto"/>
                <w:sz w:val="24"/>
                <w:szCs w:val="24"/>
                <w:lang w:eastAsia="zh-CN"/>
              </w:rPr>
              <w:t>；</w:t>
            </w:r>
          </w:p>
          <w:p>
            <w:pPr>
              <w:pStyle w:val="6"/>
              <w:keepNext w:val="0"/>
              <w:keepLines w:val="0"/>
              <w:pageBreakBefore w:val="0"/>
              <w:widowControl w:val="0"/>
              <w:kinsoku/>
              <w:wordWrap/>
              <w:overflowPunct/>
              <w:topLinePunct w:val="0"/>
              <w:bidi w:val="0"/>
              <w:snapToGrid/>
              <w:spacing w:afterAutospacing="0"/>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南侧：</w:t>
            </w:r>
            <w:r>
              <w:rPr>
                <w:rFonts w:hint="default" w:ascii="Times New Roman" w:hAnsi="Times New Roman" w:cs="Times New Roman"/>
                <w:color w:val="auto"/>
                <w:sz w:val="24"/>
                <w:szCs w:val="24"/>
              </w:rPr>
              <w:t>现状</w:t>
            </w:r>
            <w:r>
              <w:rPr>
                <w:rFonts w:hint="default" w:ascii="Times New Roman" w:hAnsi="Times New Roman" w:cs="Times New Roman"/>
                <w:color w:val="auto"/>
                <w:sz w:val="24"/>
                <w:szCs w:val="24"/>
                <w:lang w:eastAsia="zh-CN"/>
              </w:rPr>
              <w:t>为</w:t>
            </w:r>
            <w:r>
              <w:rPr>
                <w:rFonts w:hint="default" w:ascii="Times New Roman" w:hAnsi="Times New Roman" w:cs="Times New Roman"/>
                <w:color w:val="auto"/>
                <w:sz w:val="24"/>
                <w:szCs w:val="24"/>
              </w:rPr>
              <w:t>空地；</w:t>
            </w:r>
          </w:p>
          <w:p>
            <w:pPr>
              <w:pStyle w:val="6"/>
              <w:keepNext w:val="0"/>
              <w:keepLines w:val="0"/>
              <w:pageBreakBefore w:val="0"/>
              <w:widowControl w:val="0"/>
              <w:kinsoku/>
              <w:wordWrap/>
              <w:overflowPunct/>
              <w:topLinePunct w:val="0"/>
              <w:bidi w:val="0"/>
              <w:snapToGrid/>
              <w:spacing w:afterAutospacing="0"/>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东南侧：</w:t>
            </w:r>
            <w:r>
              <w:rPr>
                <w:rFonts w:hint="default" w:ascii="Times New Roman" w:hAnsi="Times New Roman" w:cs="Times New Roman"/>
                <w:color w:val="auto"/>
                <w:sz w:val="24"/>
                <w:szCs w:val="24"/>
              </w:rPr>
              <w:t>与国道213相接，</w:t>
            </w:r>
            <w:r>
              <w:rPr>
                <w:rFonts w:hint="eastAsia" w:ascii="Times New Roman" w:hAnsi="Times New Roman" w:cs="Times New Roman"/>
                <w:color w:val="auto"/>
                <w:sz w:val="24"/>
                <w:szCs w:val="24"/>
                <w:lang w:val="en-US" w:eastAsia="zh-CN"/>
              </w:rPr>
              <w:t>最近距离120</w:t>
            </w:r>
            <w:r>
              <w:rPr>
                <w:rFonts w:hint="default" w:ascii="Times New Roman" w:hAnsi="Times New Roman" w:cs="Times New Roman"/>
                <w:color w:val="auto"/>
                <w:sz w:val="24"/>
                <w:szCs w:val="24"/>
              </w:rPr>
              <w:t>m处为沙咀塘（约300人，高程+384.2m）；</w:t>
            </w:r>
          </w:p>
          <w:p>
            <w:pPr>
              <w:pStyle w:val="6"/>
              <w:keepNext w:val="0"/>
              <w:keepLines w:val="0"/>
              <w:pageBreakBefore w:val="0"/>
              <w:widowControl w:val="0"/>
              <w:kinsoku/>
              <w:wordWrap/>
              <w:overflowPunct/>
              <w:topLinePunct w:val="0"/>
              <w:bidi w:val="0"/>
              <w:snapToGrid/>
              <w:spacing w:afterAutospacing="0"/>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东侧：</w:t>
            </w:r>
            <w:r>
              <w:rPr>
                <w:rFonts w:hint="default" w:ascii="Times New Roman" w:hAnsi="Times New Roman" w:cs="Times New Roman"/>
                <w:color w:val="auto"/>
                <w:sz w:val="24"/>
                <w:szCs w:val="24"/>
              </w:rPr>
              <w:t>与国道213相邻，</w:t>
            </w:r>
            <w:r>
              <w:rPr>
                <w:rFonts w:hint="default" w:ascii="Times New Roman" w:hAnsi="Times New Roman" w:cs="Times New Roman"/>
                <w:color w:val="auto"/>
                <w:sz w:val="24"/>
                <w:szCs w:val="24"/>
                <w:lang w:eastAsia="zh-CN"/>
              </w:rPr>
              <w:t>隔道路</w:t>
            </w:r>
            <w:r>
              <w:rPr>
                <w:rFonts w:hint="default" w:ascii="Times New Roman" w:hAnsi="Times New Roman" w:cs="Times New Roman"/>
                <w:color w:val="auto"/>
                <w:sz w:val="24"/>
                <w:szCs w:val="24"/>
              </w:rPr>
              <w:t>现状</w:t>
            </w:r>
            <w:r>
              <w:rPr>
                <w:rFonts w:hint="default" w:ascii="Times New Roman" w:hAnsi="Times New Roman" w:cs="Times New Roman"/>
                <w:color w:val="auto"/>
                <w:sz w:val="24"/>
                <w:szCs w:val="24"/>
                <w:lang w:eastAsia="zh-CN"/>
              </w:rPr>
              <w:t>为</w:t>
            </w:r>
            <w:r>
              <w:rPr>
                <w:rFonts w:hint="default" w:ascii="Times New Roman" w:hAnsi="Times New Roman" w:cs="Times New Roman"/>
                <w:color w:val="auto"/>
                <w:sz w:val="24"/>
                <w:szCs w:val="24"/>
              </w:rPr>
              <w:t>空地；</w:t>
            </w:r>
          </w:p>
          <w:p>
            <w:pPr>
              <w:pStyle w:val="2"/>
              <w:keepNext w:val="0"/>
              <w:keepLines w:val="0"/>
              <w:pageBreakBefore w:val="0"/>
              <w:widowControl w:val="0"/>
              <w:kinsoku/>
              <w:wordWrap/>
              <w:overflowPunct/>
              <w:topLinePunct w:val="0"/>
              <w:bidi w:val="0"/>
              <w:snapToGrid/>
              <w:spacing w:before="0" w:after="0" w:afterAutospacing="0" w:line="360" w:lineRule="auto"/>
              <w:ind w:left="0" w:right="0" w:firstLine="474"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东北侧：</w:t>
            </w:r>
            <w:r>
              <w:rPr>
                <w:rFonts w:hint="default" w:ascii="Times New Roman" w:hAnsi="Times New Roman" w:eastAsia="宋体" w:cs="Times New Roman"/>
                <w:color w:val="auto"/>
                <w:sz w:val="24"/>
                <w:szCs w:val="24"/>
              </w:rPr>
              <w:t>与国道213相接，20m处为四川乔丰用停车区、仓库（高程+350.6m）；</w:t>
            </w:r>
          </w:p>
          <w:p>
            <w:pPr>
              <w:pStyle w:val="2"/>
              <w:keepNext w:val="0"/>
              <w:keepLines w:val="0"/>
              <w:pageBreakBefore w:val="0"/>
              <w:widowControl w:val="0"/>
              <w:kinsoku/>
              <w:wordWrap/>
              <w:overflowPunct/>
              <w:topLinePunct w:val="0"/>
              <w:bidi w:val="0"/>
              <w:snapToGrid/>
              <w:spacing w:before="0" w:after="0" w:afterAutospacing="0" w:line="360" w:lineRule="auto"/>
              <w:ind w:left="0" w:right="0" w:firstLine="472" w:firstLineChars="200"/>
              <w:rPr>
                <w:rFonts w:ascii="Times New Roman" w:hAnsi="Times New Roman" w:eastAsia="宋体" w:cs="Times New Roman"/>
                <w:color w:val="auto"/>
                <w:sz w:val="24"/>
                <w:szCs w:val="24"/>
              </w:rPr>
            </w:pPr>
            <w:r>
              <w:rPr>
                <w:rFonts w:ascii="宋体" w:eastAsia="宋体" w:cs="Times New Roman"/>
                <w:color w:val="auto"/>
                <w:sz w:val="24"/>
                <w:szCs w:val="24"/>
              </w:rPr>
              <w:t>本项目石马坝工业园区内，北侧主要为园区企业，主要以废旧资源利用、机械等企业为主，周边主要敏感保护目标为石马村居民以及周边散居住户，本项目最近敏感保护目标为</w:t>
            </w:r>
            <w:r>
              <w:rPr>
                <w:rFonts w:hint="eastAsia" w:ascii="宋体" w:eastAsia="宋体" w:cs="Times New Roman"/>
                <w:color w:val="auto"/>
                <w:sz w:val="24"/>
                <w:szCs w:val="24"/>
                <w:lang w:val="en-US" w:eastAsia="zh-CN"/>
              </w:rPr>
              <w:t>东</w:t>
            </w:r>
            <w:r>
              <w:rPr>
                <w:rFonts w:ascii="宋体" w:eastAsia="宋体" w:cs="Times New Roman"/>
                <w:color w:val="auto"/>
                <w:sz w:val="24"/>
                <w:szCs w:val="24"/>
              </w:rPr>
              <w:t>侧</w:t>
            </w:r>
            <w:r>
              <w:rPr>
                <w:rFonts w:hint="eastAsia" w:ascii="Times New Roman" w:hAnsi="Times New Roman" w:eastAsia="宋体" w:cs="Times New Roman"/>
                <w:color w:val="auto"/>
                <w:sz w:val="24"/>
                <w:szCs w:val="24"/>
                <w:lang w:val="en-US" w:eastAsia="zh-CN"/>
              </w:rPr>
              <w:t>120</w:t>
            </w:r>
            <w:r>
              <w:rPr>
                <w:rFonts w:hint="eastAsia" w:ascii="Times New Roman" w:hAnsi="Times New Roman" w:eastAsia="宋体" w:cs="Times New Roman"/>
                <w:color w:val="auto"/>
                <w:sz w:val="24"/>
                <w:szCs w:val="24"/>
              </w:rPr>
              <w:t>m处为沙咀塘（约300人，高程+384.2m）</w:t>
            </w:r>
            <w:r>
              <w:rPr>
                <w:rFonts w:ascii="宋体" w:eastAsia="宋体" w:cs="Times New Roman"/>
                <w:color w:val="auto"/>
                <w:sz w:val="24"/>
                <w:szCs w:val="24"/>
              </w:rPr>
              <w:t>，本项目废气经生产区</w:t>
            </w:r>
            <w:r>
              <w:rPr>
                <w:rFonts w:hint="eastAsia" w:ascii="宋体" w:eastAsia="宋体"/>
                <w:color w:val="auto"/>
                <w:sz w:val="24"/>
                <w:szCs w:val="24"/>
              </w:rPr>
              <w:t>封闭</w:t>
            </w:r>
            <w:r>
              <w:rPr>
                <w:rFonts w:ascii="Times New Roman" w:hAnsi="Times New Roman" w:eastAsia="宋体" w:cs="Times New Roman"/>
                <w:color w:val="auto"/>
                <w:sz w:val="24"/>
                <w:szCs w:val="24"/>
              </w:rPr>
              <w:t>+</w:t>
            </w:r>
            <w:r>
              <w:rPr>
                <w:rFonts w:ascii="宋体" w:eastAsia="宋体" w:cs="Times New Roman"/>
                <w:color w:val="auto"/>
                <w:sz w:val="24"/>
                <w:szCs w:val="24"/>
              </w:rPr>
              <w:t>集气罩</w:t>
            </w:r>
            <w:r>
              <w:rPr>
                <w:rFonts w:ascii="Times New Roman" w:hAnsi="Times New Roman" w:eastAsia="宋体" w:cs="Times New Roman"/>
                <w:color w:val="auto"/>
                <w:sz w:val="24"/>
                <w:szCs w:val="24"/>
              </w:rPr>
              <w:t>+</w:t>
            </w:r>
            <w:r>
              <w:rPr>
                <w:rFonts w:hint="eastAsia" w:ascii="宋体" w:eastAsia="宋体"/>
                <w:color w:val="auto"/>
                <w:sz w:val="24"/>
                <w:szCs w:val="24"/>
              </w:rPr>
              <w:t>布袋除尘器</w:t>
            </w:r>
            <w:r>
              <w:rPr>
                <w:rFonts w:hint="eastAsia" w:ascii="Times New Roman" w:hAnsi="Times New Roman" w:eastAsia="宋体" w:cs="Times New Roman"/>
                <w:color w:val="auto"/>
                <w:sz w:val="24"/>
                <w:szCs w:val="24"/>
              </w:rPr>
              <w:t>+</w:t>
            </w:r>
            <w:r>
              <w:rPr>
                <w:rFonts w:hint="eastAsia" w:ascii="宋体" w:eastAsia="宋体"/>
                <w:color w:val="auto"/>
                <w:sz w:val="24"/>
                <w:szCs w:val="24"/>
              </w:rPr>
              <w:t>水膜</w:t>
            </w:r>
            <w:r>
              <w:rPr>
                <w:rFonts w:hint="eastAsia" w:ascii="Times New Roman" w:hAnsi="Times New Roman" w:eastAsia="宋体" w:cs="Times New Roman"/>
                <w:color w:val="auto"/>
                <w:sz w:val="24"/>
                <w:szCs w:val="24"/>
              </w:rPr>
              <w:t>+</w:t>
            </w:r>
            <w:r>
              <w:rPr>
                <w:rFonts w:hint="eastAsia" w:ascii="宋体" w:eastAsia="宋体"/>
                <w:color w:val="auto"/>
                <w:sz w:val="24"/>
                <w:szCs w:val="24"/>
              </w:rPr>
              <w:t>喷淋塔</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UV</w:t>
            </w:r>
            <w:r>
              <w:rPr>
                <w:rFonts w:ascii="宋体" w:eastAsia="宋体" w:cs="Times New Roman"/>
                <w:color w:val="auto"/>
                <w:sz w:val="24"/>
                <w:szCs w:val="24"/>
              </w:rPr>
              <w:t>光解</w:t>
            </w:r>
            <w:r>
              <w:rPr>
                <w:rFonts w:ascii="Times New Roman" w:hAnsi="Times New Roman" w:eastAsia="宋体" w:cs="Times New Roman"/>
                <w:color w:val="auto"/>
                <w:sz w:val="24"/>
                <w:szCs w:val="24"/>
              </w:rPr>
              <w:t>+</w:t>
            </w:r>
            <w:r>
              <w:rPr>
                <w:rFonts w:ascii="宋体" w:eastAsia="宋体" w:cs="Times New Roman"/>
                <w:color w:val="auto"/>
                <w:sz w:val="24"/>
                <w:szCs w:val="24"/>
              </w:rPr>
              <w:t>低温等离子</w:t>
            </w:r>
            <w:r>
              <w:rPr>
                <w:rFonts w:ascii="Times New Roman" w:hAnsi="Times New Roman" w:eastAsia="宋体" w:cs="Times New Roman"/>
                <w:color w:val="auto"/>
                <w:sz w:val="24"/>
                <w:szCs w:val="24"/>
              </w:rPr>
              <w:t>+</w:t>
            </w:r>
            <w:r>
              <w:rPr>
                <w:rFonts w:ascii="宋体" w:eastAsia="宋体" w:cs="Times New Roman"/>
                <w:color w:val="auto"/>
                <w:sz w:val="24"/>
                <w:szCs w:val="24"/>
              </w:rPr>
              <w:t>二级活性炭吸附处理设备处理后经</w:t>
            </w:r>
            <w:r>
              <w:rPr>
                <w:rFonts w:ascii="Times New Roman" w:hAnsi="Times New Roman" w:eastAsia="宋体" w:cs="Times New Roman"/>
                <w:color w:val="auto"/>
                <w:sz w:val="24"/>
                <w:szCs w:val="24"/>
              </w:rPr>
              <w:t>15m</w:t>
            </w:r>
            <w:r>
              <w:rPr>
                <w:rFonts w:ascii="宋体" w:eastAsia="宋体" w:cs="Times New Roman"/>
                <w:color w:val="auto"/>
                <w:sz w:val="24"/>
                <w:szCs w:val="24"/>
              </w:rPr>
              <w:t>排气筒达标排放，对周边环境无较大影响；项目所在区域地表水系为岷江，本项目不在饮用水源保护区范围内，符合《中华人民共和国水污染防治法》和《四川省饮用水水源保护管理条例》的有关规定。本</w:t>
            </w:r>
            <w:r>
              <w:rPr>
                <w:rFonts w:hint="eastAsia" w:ascii="宋体" w:eastAsia="宋体" w:cs="Times New Roman"/>
                <w:color w:val="auto"/>
                <w:sz w:val="24"/>
                <w:szCs w:val="24"/>
                <w:lang w:val="en-US" w:eastAsia="zh-CN"/>
              </w:rPr>
              <w:t>次技改</w:t>
            </w:r>
            <w:r>
              <w:rPr>
                <w:rFonts w:ascii="宋体" w:eastAsia="宋体" w:cs="Times New Roman"/>
                <w:color w:val="auto"/>
                <w:sz w:val="24"/>
                <w:szCs w:val="24"/>
              </w:rPr>
              <w:t>无新增生活污水，</w:t>
            </w:r>
            <w:r>
              <w:rPr>
                <w:rFonts w:hint="eastAsia" w:ascii="宋体" w:eastAsia="宋体" w:cs="Times New Roman"/>
                <w:color w:val="auto"/>
                <w:sz w:val="24"/>
                <w:szCs w:val="24"/>
              </w:rPr>
              <w:t>项目生产废水经自建污水处理站处理后循环回用；冷却水循环使用不外排；生活污水经厂内预处理池处理后排入市政污水管网，最终进入犍为县污水处理厂处理后达标排放</w:t>
            </w:r>
            <w:r>
              <w:rPr>
                <w:rFonts w:ascii="宋体" w:eastAsia="宋体" w:cs="Times New Roman"/>
                <w:color w:val="auto"/>
                <w:sz w:val="24"/>
                <w:szCs w:val="24"/>
              </w:rPr>
              <w:t>。因此，项目实施对地表水影响较小。</w:t>
            </w:r>
            <w:r>
              <w:rPr>
                <w:rFonts w:hint="eastAsia" w:ascii="宋体" w:eastAsia="宋体"/>
                <w:color w:val="auto"/>
                <w:sz w:val="24"/>
                <w:szCs w:val="24"/>
              </w:rPr>
              <w:t>通过项目周边高差调查分析，本项目所处位置地势较低，周边住户敏感点距本项目有一定距离且高差在</w:t>
            </w:r>
            <w:r>
              <w:rPr>
                <w:rFonts w:hint="eastAsia" w:ascii="Times New Roman" w:hAnsi="Times New Roman" w:eastAsia="宋体" w:cs="Times New Roman"/>
                <w:color w:val="auto"/>
                <w:sz w:val="24"/>
                <w:szCs w:val="24"/>
              </w:rPr>
              <w:t>+6~+</w:t>
            </w:r>
            <w:r>
              <w:rPr>
                <w:rFonts w:hint="eastAsia" w:ascii="Times New Roman" w:hAnsi="Times New Roman" w:eastAsia="宋体" w:cs="Times New Roman"/>
                <w:color w:val="auto"/>
                <w:sz w:val="24"/>
                <w:szCs w:val="24"/>
                <w:lang w:val="en-US" w:eastAsia="zh-CN"/>
              </w:rPr>
              <w:t>52</w:t>
            </w:r>
            <w:r>
              <w:rPr>
                <w:rFonts w:hint="eastAsia" w:ascii="Times New Roman" w:hAnsi="Times New Roman" w:eastAsia="宋体" w:cs="Times New Roman"/>
                <w:color w:val="auto"/>
                <w:sz w:val="24"/>
                <w:szCs w:val="24"/>
              </w:rPr>
              <w:t>m</w:t>
            </w:r>
            <w:r>
              <w:rPr>
                <w:rFonts w:hint="eastAsia" w:ascii="宋体" w:eastAsia="宋体"/>
                <w:color w:val="auto"/>
                <w:sz w:val="24"/>
                <w:szCs w:val="24"/>
              </w:rPr>
              <w:t>左右，能够有效降低本项目生产噪声对敏感点的影响，同时，本项目地势较低，场地内污废水经重力自流至周边敏感点的几率较小，环境风险较小。</w:t>
            </w:r>
          </w:p>
          <w:p>
            <w:pPr>
              <w:pStyle w:val="2"/>
              <w:keepNext w:val="0"/>
              <w:keepLines w:val="0"/>
              <w:pageBreakBefore w:val="0"/>
              <w:widowControl w:val="0"/>
              <w:kinsoku/>
              <w:wordWrap/>
              <w:overflowPunct/>
              <w:topLinePunct w:val="0"/>
              <w:bidi w:val="0"/>
              <w:snapToGrid/>
              <w:spacing w:before="0" w:after="0" w:afterAutospacing="0" w:line="360" w:lineRule="auto"/>
              <w:ind w:left="0" w:right="0" w:firstLine="472" w:firstLineChars="200"/>
              <w:rPr>
                <w:rFonts w:ascii="Times New Roman" w:hAnsi="Times New Roman" w:eastAsia="宋体" w:cs="Times New Roman"/>
                <w:color w:val="auto"/>
                <w:sz w:val="24"/>
                <w:szCs w:val="24"/>
              </w:rPr>
            </w:pPr>
            <w:r>
              <w:rPr>
                <w:rFonts w:ascii="宋体" w:eastAsia="宋体" w:cs="Times New Roman"/>
                <w:color w:val="auto"/>
                <w:sz w:val="24"/>
                <w:szCs w:val="24"/>
              </w:rPr>
              <w:t>项目拟建于现有车间内，用地性质为工业用地，符合园区规划（为园区允许发展产业）；评价范围内有一定环境敏感因素，在严格落实各项环保处理措施的情况下，能最大限度减少对外环境的影响，且本项目具有一定的环境正效益，</w:t>
            </w:r>
            <w:r>
              <w:rPr>
                <w:rFonts w:hint="eastAsia" w:ascii="宋体" w:eastAsia="宋体"/>
                <w:color w:val="auto"/>
                <w:sz w:val="24"/>
                <w:szCs w:val="24"/>
              </w:rPr>
              <w:t>削减了全厂塑料颗粒产量，减少了废气排放；同时，本项目的实施</w:t>
            </w:r>
            <w:r>
              <w:rPr>
                <w:rFonts w:ascii="宋体" w:eastAsia="宋体" w:cs="Times New Roman"/>
                <w:color w:val="auto"/>
                <w:sz w:val="24"/>
                <w:szCs w:val="24"/>
              </w:rPr>
              <w:t>可有效减少废弃塑料量</w:t>
            </w:r>
            <w:r>
              <w:rPr>
                <w:rFonts w:hint="eastAsia" w:ascii="宋体" w:eastAsia="宋体"/>
                <w:color w:val="auto"/>
                <w:sz w:val="24"/>
                <w:szCs w:val="24"/>
              </w:rPr>
              <w:t>、</w:t>
            </w:r>
            <w:r>
              <w:rPr>
                <w:rFonts w:ascii="宋体" w:eastAsia="宋体" w:cs="Times New Roman"/>
                <w:color w:val="auto"/>
                <w:sz w:val="24"/>
                <w:szCs w:val="24"/>
              </w:rPr>
              <w:t>实现废旧资源综合利用。因此，本项目与周边企业环境相容，实施后不会改变区域环境功能，与周围环境相容。</w:t>
            </w:r>
          </w:p>
          <w:p>
            <w:pPr>
              <w:keepNext w:val="0"/>
              <w:keepLines w:val="0"/>
              <w:pageBreakBefore w:val="0"/>
              <w:widowControl w:val="0"/>
              <w:kinsoku/>
              <w:wordWrap/>
              <w:overflowPunct/>
              <w:topLinePunct w:val="0"/>
              <w:autoSpaceDE w:val="0"/>
              <w:autoSpaceDN w:val="0"/>
              <w:bidi w:val="0"/>
              <w:adjustRightInd w:val="0"/>
              <w:snapToGrid/>
              <w:spacing w:afterAutospacing="0" w:line="360" w:lineRule="auto"/>
              <w:ind w:firstLine="480" w:firstLineChars="200"/>
              <w:jc w:val="left"/>
              <w:rPr>
                <w:rFonts w:ascii="Times New Roman" w:hAnsi="Times New Roman" w:cs="Calibri"/>
                <w:color w:val="auto"/>
                <w:sz w:val="24"/>
                <w:szCs w:val="24"/>
              </w:rPr>
            </w:pPr>
            <w:r>
              <w:rPr>
                <w:rFonts w:hint="eastAsia" w:ascii="宋体" w:hAnsi="宋体"/>
                <w:color w:val="auto"/>
                <w:sz w:val="24"/>
                <w:szCs w:val="24"/>
              </w:rPr>
              <w:t>③与饮用水源保护区相容性分析</w:t>
            </w:r>
          </w:p>
          <w:p>
            <w:pPr>
              <w:spacing w:line="360" w:lineRule="auto"/>
              <w:ind w:firstLine="480" w:firstLineChars="200"/>
              <w:rPr>
                <w:rFonts w:hint="eastAsia" w:ascii="宋体" w:hAnsi="宋体"/>
                <w:bCs/>
                <w:color w:val="auto"/>
                <w:kern w:val="0"/>
                <w:sz w:val="24"/>
                <w:szCs w:val="24"/>
                <w:lang w:eastAsia="zh-CN"/>
              </w:rPr>
            </w:pPr>
            <w:r>
              <w:rPr>
                <w:rFonts w:ascii="宋体" w:hAnsi="宋体"/>
                <w:bCs/>
                <w:color w:val="auto"/>
                <w:kern w:val="0"/>
                <w:sz w:val="24"/>
                <w:szCs w:val="24"/>
              </w:rPr>
              <w:t>本项目位于</w:t>
            </w:r>
            <w:r>
              <w:rPr>
                <w:rFonts w:hint="eastAsia" w:ascii="宋体" w:hAnsi="宋体"/>
                <w:bCs/>
                <w:color w:val="auto"/>
                <w:kern w:val="0"/>
                <w:sz w:val="24"/>
                <w:szCs w:val="24"/>
              </w:rPr>
              <w:t>舞雩镇</w:t>
            </w:r>
            <w:r>
              <w:rPr>
                <w:rFonts w:ascii="宋体" w:hAnsi="宋体"/>
                <w:bCs/>
                <w:color w:val="auto"/>
                <w:kern w:val="0"/>
                <w:sz w:val="24"/>
                <w:szCs w:val="24"/>
              </w:rPr>
              <w:t>石马坝工业园区内，为犍为新型工业基地石马坝工业组团过渡保留区，</w:t>
            </w:r>
            <w:r>
              <w:rPr>
                <w:rFonts w:hint="eastAsia" w:ascii="宋体" w:hAnsi="宋体"/>
                <w:bCs/>
                <w:color w:val="auto"/>
                <w:kern w:val="0"/>
                <w:sz w:val="24"/>
                <w:szCs w:val="24"/>
                <w:lang w:val="en-US" w:eastAsia="zh-CN"/>
              </w:rPr>
              <w:t>不在</w:t>
            </w:r>
            <w:r>
              <w:rPr>
                <w:rFonts w:ascii="宋体" w:hAnsi="宋体"/>
                <w:bCs/>
                <w:color w:val="auto"/>
                <w:kern w:val="0"/>
                <w:sz w:val="24"/>
                <w:szCs w:val="24"/>
              </w:rPr>
              <w:t>犍为县饮用水取水口保护区</w:t>
            </w:r>
            <w:r>
              <w:rPr>
                <w:rFonts w:hint="eastAsia" w:ascii="宋体" w:hAnsi="宋体"/>
                <w:bCs/>
                <w:color w:val="auto"/>
                <w:kern w:val="0"/>
                <w:sz w:val="24"/>
                <w:szCs w:val="24"/>
                <w:lang w:val="en-US" w:eastAsia="zh-CN"/>
              </w:rPr>
              <w:t>范围内</w:t>
            </w:r>
            <w:r>
              <w:rPr>
                <w:rFonts w:hint="eastAsia" w:ascii="宋体" w:hAnsi="宋体"/>
                <w:bCs/>
                <w:color w:val="auto"/>
                <w:kern w:val="0"/>
                <w:sz w:val="24"/>
                <w:szCs w:val="24"/>
                <w:lang w:eastAsia="zh-CN"/>
              </w:rPr>
              <w:t>。</w:t>
            </w:r>
          </w:p>
          <w:p>
            <w:pPr>
              <w:spacing w:line="360" w:lineRule="auto"/>
              <w:ind w:firstLine="480" w:firstLineChars="200"/>
              <w:rPr>
                <w:rFonts w:ascii="Times New Roman" w:hAnsi="Times New Roman"/>
                <w:color w:val="auto"/>
                <w:sz w:val="24"/>
                <w:szCs w:val="24"/>
              </w:rPr>
            </w:pPr>
            <w:r>
              <w:rPr>
                <w:rFonts w:ascii="宋体" w:hAnsi="宋体"/>
                <w:color w:val="auto"/>
                <w:sz w:val="24"/>
                <w:szCs w:val="24"/>
              </w:rPr>
              <w:t>综上所述，从环保角度出发，项目选址可行。</w:t>
            </w:r>
          </w:p>
          <w:p>
            <w:pPr>
              <w:spacing w:line="360" w:lineRule="auto"/>
              <w:ind w:firstLine="420" w:firstLineChars="200"/>
              <w:rPr>
                <w:rFonts w:ascii="Times New Roman" w:hAnsi="Times New Roman"/>
                <w:color w:val="auto"/>
                <w:szCs w:val="21"/>
              </w:rPr>
            </w:pPr>
          </w:p>
          <w:p>
            <w:pPr>
              <w:pStyle w:val="6"/>
              <w:spacing w:line="240" w:lineRule="auto"/>
              <w:ind w:firstLine="0"/>
              <w:jc w:val="center"/>
              <w:rPr>
                <w:rFonts w:ascii="宋体" w:hAnsi="宋体"/>
                <w:b/>
                <w:bCs/>
                <w:color w:val="auto"/>
                <w:sz w:val="21"/>
                <w:szCs w:val="21"/>
              </w:rPr>
            </w:pPr>
          </w:p>
          <w:p>
            <w:pPr>
              <w:pStyle w:val="6"/>
              <w:spacing w:line="240" w:lineRule="auto"/>
              <w:ind w:firstLine="0"/>
              <w:jc w:val="center"/>
              <w:rPr>
                <w:rFonts w:ascii="宋体" w:hAnsi="宋体"/>
                <w:b/>
                <w:bCs/>
                <w:color w:val="auto"/>
                <w:sz w:val="21"/>
                <w:szCs w:val="21"/>
              </w:rPr>
            </w:pPr>
          </w:p>
          <w:p>
            <w:pPr>
              <w:pStyle w:val="6"/>
              <w:spacing w:line="240" w:lineRule="auto"/>
              <w:ind w:firstLine="0"/>
              <w:jc w:val="center"/>
              <w:rPr>
                <w:rFonts w:ascii="宋体" w:hAnsi="宋体"/>
                <w:b/>
                <w:bCs/>
                <w:color w:val="auto"/>
                <w:sz w:val="21"/>
                <w:szCs w:val="21"/>
              </w:rPr>
            </w:pPr>
          </w:p>
          <w:p>
            <w:pPr>
              <w:pStyle w:val="6"/>
              <w:spacing w:line="240" w:lineRule="auto"/>
              <w:ind w:firstLine="0"/>
              <w:jc w:val="center"/>
              <w:rPr>
                <w:rFonts w:hint="eastAsia" w:ascii="宋体" w:hAnsi="宋体"/>
                <w:b/>
                <w:bCs/>
                <w:color w:val="auto"/>
                <w:sz w:val="21"/>
                <w:szCs w:val="21"/>
              </w:rPr>
            </w:pPr>
          </w:p>
          <w:p>
            <w:pPr>
              <w:rPr>
                <w:color w:val="auto"/>
                <w:vertAlign w:val="baseline"/>
              </w:rPr>
            </w:pPr>
          </w:p>
        </w:tc>
      </w:tr>
    </w:tbl>
    <w:p>
      <w:pPr>
        <w:rPr>
          <w:color w:val="auto"/>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53" w:type="dxa"/>
            <w:noWrap w:val="0"/>
            <w:vAlign w:val="center"/>
          </w:tcPr>
          <w:p>
            <w:pPr>
              <w:pStyle w:val="2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Cs w:val="24"/>
              </w:rPr>
              <w:t>建设内容</w:t>
            </w:r>
          </w:p>
        </w:tc>
        <w:tc>
          <w:tcPr>
            <w:tcW w:w="8607" w:type="dxa"/>
            <w:noWrap w:val="0"/>
            <w:vAlign w:val="top"/>
          </w:tcPr>
          <w:p>
            <w:pPr>
              <w:spacing w:line="360" w:lineRule="auto"/>
              <w:rPr>
                <w:b/>
                <w:color w:val="auto"/>
                <w:sz w:val="24"/>
                <w:szCs w:val="24"/>
              </w:rPr>
            </w:pPr>
            <w:r>
              <w:rPr>
                <w:b/>
                <w:color w:val="auto"/>
                <w:sz w:val="24"/>
                <w:szCs w:val="24"/>
              </w:rPr>
              <w:t>一</w:t>
            </w:r>
            <w:r>
              <w:rPr>
                <w:rFonts w:hint="eastAsia"/>
                <w:b/>
                <w:color w:val="auto"/>
                <w:sz w:val="24"/>
                <w:szCs w:val="24"/>
                <w:lang w:eastAsia="zh-CN"/>
              </w:rPr>
              <w:t>、</w:t>
            </w:r>
            <w:r>
              <w:rPr>
                <w:b/>
                <w:color w:val="auto"/>
                <w:sz w:val="24"/>
                <w:szCs w:val="24"/>
              </w:rPr>
              <w:t>项目的由来</w:t>
            </w:r>
          </w:p>
          <w:p>
            <w:pPr>
              <w:spacing w:line="360" w:lineRule="auto"/>
              <w:ind w:firstLine="480" w:firstLineChars="200"/>
              <w:rPr>
                <w:color w:val="auto"/>
                <w:sz w:val="24"/>
                <w:szCs w:val="24"/>
              </w:rPr>
            </w:pPr>
            <w:r>
              <w:rPr>
                <w:rFonts w:hint="eastAsia"/>
                <w:color w:val="auto"/>
                <w:sz w:val="24"/>
                <w:szCs w:val="24"/>
              </w:rPr>
              <w:t>乐山图南再生资源回收利用有限公司位于乐山市犍为县舞雩镇石马坝工业园区，是一家从事废旧塑料回收再生利用的企业。</w:t>
            </w:r>
          </w:p>
          <w:p>
            <w:pPr>
              <w:spacing w:line="360" w:lineRule="auto"/>
              <w:ind w:firstLine="480" w:firstLineChars="200"/>
              <w:rPr>
                <w:color w:val="auto"/>
                <w:sz w:val="24"/>
                <w:szCs w:val="24"/>
              </w:rPr>
            </w:pPr>
            <w:r>
              <w:rPr>
                <w:rFonts w:hint="eastAsia"/>
                <w:color w:val="auto"/>
                <w:sz w:val="24"/>
                <w:szCs w:val="24"/>
              </w:rPr>
              <w:t>2016年12月，企业的《新建年产3万吨塑料颗粒项目环境影响报告表》于2016年12月5日取得原犍为县环境保护局（现已更名乐山市犍为生态环境局）批复，文号为“犍环审发[2016]119号”，建设内容为：新建厂房15955m</w:t>
            </w:r>
            <w:r>
              <w:rPr>
                <w:rFonts w:hint="eastAsia"/>
                <w:color w:val="auto"/>
                <w:sz w:val="24"/>
                <w:szCs w:val="24"/>
                <w:vertAlign w:val="superscript"/>
              </w:rPr>
              <w:t>2</w:t>
            </w:r>
            <w:r>
              <w:rPr>
                <w:rFonts w:hint="eastAsia"/>
                <w:color w:val="auto"/>
                <w:sz w:val="24"/>
                <w:szCs w:val="24"/>
              </w:rPr>
              <w:t>，办公用房1100m</w:t>
            </w:r>
            <w:r>
              <w:rPr>
                <w:rFonts w:hint="eastAsia"/>
                <w:color w:val="auto"/>
                <w:sz w:val="24"/>
                <w:szCs w:val="24"/>
                <w:vertAlign w:val="superscript"/>
              </w:rPr>
              <w:t>2</w:t>
            </w:r>
            <w:r>
              <w:rPr>
                <w:rFonts w:hint="eastAsia"/>
                <w:color w:val="auto"/>
                <w:sz w:val="24"/>
                <w:szCs w:val="24"/>
              </w:rPr>
              <w:t>，新建6条塑料颗</w:t>
            </w:r>
            <w:r>
              <w:rPr>
                <w:rFonts w:hint="eastAsia"/>
                <w:color w:val="auto"/>
                <w:sz w:val="24"/>
                <w:szCs w:val="24"/>
                <w:lang w:val="en-US" w:eastAsia="zh-CN"/>
              </w:rPr>
              <w:t>粒</w:t>
            </w:r>
            <w:r>
              <w:rPr>
                <w:rFonts w:hint="eastAsia"/>
                <w:color w:val="auto"/>
                <w:sz w:val="24"/>
                <w:szCs w:val="24"/>
              </w:rPr>
              <w:t>生产线，原料为废旧塑料，项目建成后形成年产量3万吨/年的塑料颗粒生产规模。2017年因公司法人变更，由“乐山思恒塑业有限责任公司”变更为现在的“乐山图南再生资源回收利用有限公司”</w:t>
            </w:r>
            <w:r>
              <w:rPr>
                <w:rFonts w:hint="eastAsia"/>
                <w:color w:val="auto"/>
                <w:sz w:val="24"/>
                <w:szCs w:val="24"/>
                <w:lang w:val="en-US" w:eastAsia="zh-CN"/>
              </w:rPr>
              <w:t>见附件7</w:t>
            </w:r>
            <w:r>
              <w:rPr>
                <w:rFonts w:hint="eastAsia"/>
                <w:color w:val="auto"/>
                <w:sz w:val="24"/>
                <w:szCs w:val="24"/>
              </w:rPr>
              <w:t>。</w:t>
            </w:r>
          </w:p>
          <w:p>
            <w:pPr>
              <w:spacing w:line="360" w:lineRule="auto"/>
              <w:ind w:firstLine="480" w:firstLineChars="200"/>
              <w:rPr>
                <w:rFonts w:hint="eastAsia"/>
                <w:color w:val="auto"/>
                <w:sz w:val="24"/>
                <w:szCs w:val="24"/>
              </w:rPr>
            </w:pPr>
            <w:r>
              <w:rPr>
                <w:rFonts w:hint="eastAsia"/>
                <w:color w:val="auto"/>
                <w:sz w:val="24"/>
                <w:szCs w:val="24"/>
              </w:rPr>
              <w:t>2017年6月，公司的《新建年产3万吨塑料颗粒项目环境影响评价补充报告》于2017年6月25日取得原犍为县环境保护局批复，文号为“犍环审发[2017]50号”，</w:t>
            </w:r>
            <w:r>
              <w:rPr>
                <w:rFonts w:hint="eastAsia"/>
                <w:color w:val="auto"/>
                <w:sz w:val="24"/>
                <w:szCs w:val="24"/>
                <w:lang w:val="en-US" w:eastAsia="zh-CN"/>
              </w:rPr>
              <w:t>见附件12。</w:t>
            </w:r>
            <w:r>
              <w:rPr>
                <w:rFonts w:hint="eastAsia"/>
                <w:color w:val="auto"/>
                <w:sz w:val="24"/>
                <w:szCs w:val="24"/>
              </w:rPr>
              <w:t xml:space="preserve">根据实际生产线情况，新增烧网机2台，将过滤网进行烧网处理后重复利用，减少废过滤网产生量。 </w:t>
            </w:r>
          </w:p>
          <w:p>
            <w:pPr>
              <w:spacing w:line="360" w:lineRule="auto"/>
              <w:ind w:firstLine="480" w:firstLineChars="200"/>
              <w:rPr>
                <w:rFonts w:hint="eastAsia"/>
                <w:color w:val="auto"/>
                <w:sz w:val="24"/>
                <w:szCs w:val="24"/>
              </w:rPr>
            </w:pPr>
            <w:r>
              <w:rPr>
                <w:rFonts w:hint="eastAsia"/>
                <w:color w:val="auto"/>
                <w:sz w:val="24"/>
                <w:szCs w:val="24"/>
              </w:rPr>
              <w:t>由于市场原因企业在实际建设过程中，只建设了2条生产线，即年产1万吨塑料颗粒，其余工程均按原环评及批复建设。2019年1月，公司《新建年产3万吨塑料颗粒项目（一期）竣工环境保护验收监测报告表》取得自主验收意见并备案，</w:t>
            </w:r>
            <w:r>
              <w:rPr>
                <w:rFonts w:hint="eastAsia"/>
                <w:color w:val="auto"/>
                <w:sz w:val="24"/>
                <w:szCs w:val="24"/>
                <w:lang w:val="en-US" w:eastAsia="zh-CN"/>
              </w:rPr>
              <w:t>见附件13</w:t>
            </w:r>
            <w:r>
              <w:rPr>
                <w:rFonts w:hint="eastAsia"/>
                <w:color w:val="auto"/>
                <w:sz w:val="24"/>
                <w:szCs w:val="24"/>
              </w:rPr>
              <w:t>。验收范围为：2条塑料颗粒生产线（生产规模为1万吨/年塑料颗粒），及其配套工程。</w:t>
            </w:r>
          </w:p>
          <w:p>
            <w:pPr>
              <w:spacing w:line="360" w:lineRule="auto"/>
              <w:ind w:firstLine="480" w:firstLineChars="200"/>
              <w:rPr>
                <w:rFonts w:hint="eastAsia"/>
                <w:color w:val="auto"/>
                <w:sz w:val="24"/>
                <w:szCs w:val="24"/>
              </w:rPr>
            </w:pPr>
            <w:r>
              <w:rPr>
                <w:rFonts w:hint="eastAsia"/>
                <w:color w:val="auto"/>
                <w:sz w:val="24"/>
                <w:szCs w:val="24"/>
              </w:rPr>
              <w:t>2020年4月，公司为满足市场需要，又建设1条塑料颗粒生产线（生产规模为年产塑料颗粒0.5万吨）</w:t>
            </w:r>
            <w:r>
              <w:rPr>
                <w:rFonts w:hint="eastAsia"/>
                <w:color w:val="auto"/>
                <w:sz w:val="24"/>
                <w:szCs w:val="24"/>
                <w:lang w:eastAsia="zh-CN"/>
              </w:rPr>
              <w:t>。</w:t>
            </w:r>
            <w:r>
              <w:rPr>
                <w:rFonts w:hint="eastAsia"/>
                <w:color w:val="auto"/>
                <w:sz w:val="24"/>
                <w:szCs w:val="24"/>
              </w:rPr>
              <w:t>至此，公司一共有3条塑料颗粒生产线，共1.5万吨/年塑料颗粒的生产能力。</w:t>
            </w:r>
          </w:p>
          <w:p>
            <w:pPr>
              <w:spacing w:line="360" w:lineRule="auto"/>
              <w:ind w:firstLine="480" w:firstLineChars="200"/>
              <w:rPr>
                <w:color w:val="auto"/>
                <w:sz w:val="24"/>
                <w:szCs w:val="24"/>
              </w:rPr>
            </w:pPr>
            <w:r>
              <w:rPr>
                <w:rFonts w:hint="eastAsia"/>
                <w:color w:val="auto"/>
                <w:sz w:val="24"/>
                <w:szCs w:val="24"/>
              </w:rPr>
              <w:t>202</w:t>
            </w:r>
            <w:r>
              <w:rPr>
                <w:color w:val="auto"/>
                <w:sz w:val="24"/>
                <w:szCs w:val="24"/>
              </w:rPr>
              <w:t>1</w:t>
            </w:r>
            <w:r>
              <w:rPr>
                <w:rFonts w:hint="eastAsia"/>
                <w:color w:val="auto"/>
                <w:sz w:val="24"/>
                <w:szCs w:val="24"/>
              </w:rPr>
              <w:t>年</w:t>
            </w:r>
            <w:r>
              <w:rPr>
                <w:color w:val="auto"/>
                <w:sz w:val="24"/>
                <w:szCs w:val="24"/>
              </w:rPr>
              <w:t>3</w:t>
            </w:r>
            <w:r>
              <w:rPr>
                <w:rFonts w:hint="eastAsia"/>
                <w:color w:val="auto"/>
                <w:sz w:val="24"/>
                <w:szCs w:val="24"/>
              </w:rPr>
              <w:t>月，《废旧塑料加工生产线技改项目环境影响报告表》于20</w:t>
            </w:r>
            <w:r>
              <w:rPr>
                <w:color w:val="auto"/>
                <w:sz w:val="24"/>
                <w:szCs w:val="24"/>
              </w:rPr>
              <w:t>21</w:t>
            </w:r>
            <w:r>
              <w:rPr>
                <w:rFonts w:hint="eastAsia"/>
                <w:color w:val="auto"/>
                <w:sz w:val="24"/>
                <w:szCs w:val="24"/>
              </w:rPr>
              <w:t>年</w:t>
            </w:r>
            <w:r>
              <w:rPr>
                <w:color w:val="auto"/>
                <w:sz w:val="24"/>
                <w:szCs w:val="24"/>
              </w:rPr>
              <w:t>3</w:t>
            </w:r>
            <w:r>
              <w:rPr>
                <w:rFonts w:hint="eastAsia"/>
                <w:color w:val="auto"/>
                <w:sz w:val="24"/>
                <w:szCs w:val="24"/>
              </w:rPr>
              <w:t>月25日取得犍为县生态环境局批复，文号为“犍环审发[20</w:t>
            </w:r>
            <w:r>
              <w:rPr>
                <w:color w:val="auto"/>
                <w:sz w:val="24"/>
                <w:szCs w:val="24"/>
              </w:rPr>
              <w:t>21</w:t>
            </w:r>
            <w:r>
              <w:rPr>
                <w:rFonts w:hint="eastAsia"/>
                <w:color w:val="auto"/>
                <w:sz w:val="24"/>
                <w:szCs w:val="24"/>
              </w:rPr>
              <w:t>]</w:t>
            </w:r>
            <w:r>
              <w:rPr>
                <w:color w:val="auto"/>
                <w:sz w:val="24"/>
                <w:szCs w:val="24"/>
              </w:rPr>
              <w:t>05</w:t>
            </w:r>
            <w:r>
              <w:rPr>
                <w:rFonts w:hint="eastAsia"/>
                <w:color w:val="auto"/>
                <w:sz w:val="24"/>
                <w:szCs w:val="24"/>
              </w:rPr>
              <w:t>号”，</w:t>
            </w:r>
            <w:r>
              <w:rPr>
                <w:rFonts w:hint="eastAsia"/>
                <w:color w:val="auto"/>
                <w:sz w:val="24"/>
                <w:szCs w:val="24"/>
                <w:lang w:val="en-US" w:eastAsia="zh-CN"/>
              </w:rPr>
              <w:t>见附件12</w:t>
            </w:r>
            <w:r>
              <w:rPr>
                <w:rFonts w:hint="eastAsia"/>
                <w:color w:val="auto"/>
                <w:sz w:val="24"/>
                <w:szCs w:val="24"/>
              </w:rPr>
              <w:t>。乐山图南再生资源回收利用有限公司对剩余未建3条塑料颗粒生产线技改为1条塑料丝生产线，外购1台造粒机，3台拉丝机，原料仍为废旧塑料，产品及规模由1.5万吨</w:t>
            </w:r>
            <w:r>
              <w:rPr>
                <w:rFonts w:hint="eastAsia"/>
                <w:color w:val="auto"/>
                <w:sz w:val="24"/>
                <w:szCs w:val="24"/>
                <w:lang w:val="en-US" w:eastAsia="zh-CN"/>
              </w:rPr>
              <w:t>/年</w:t>
            </w:r>
            <w:r>
              <w:rPr>
                <w:rFonts w:hint="eastAsia"/>
                <w:color w:val="auto"/>
                <w:sz w:val="24"/>
                <w:szCs w:val="24"/>
              </w:rPr>
              <w:t>塑料颗粒调整为0.65万吨</w:t>
            </w:r>
            <w:r>
              <w:rPr>
                <w:rFonts w:hint="eastAsia"/>
                <w:color w:val="auto"/>
                <w:sz w:val="24"/>
                <w:szCs w:val="24"/>
                <w:lang w:val="en-US" w:eastAsia="zh-CN"/>
              </w:rPr>
              <w:t>/年</w:t>
            </w:r>
            <w:r>
              <w:rPr>
                <w:rFonts w:hint="eastAsia"/>
                <w:color w:val="auto"/>
                <w:sz w:val="24"/>
                <w:szCs w:val="24"/>
              </w:rPr>
              <w:t>塑料丝；全厂产品规模</w:t>
            </w:r>
            <w:r>
              <w:rPr>
                <w:rFonts w:hint="eastAsia"/>
                <w:color w:val="auto"/>
                <w:sz w:val="24"/>
                <w:szCs w:val="24"/>
                <w:lang w:val="en-US" w:eastAsia="zh-CN"/>
              </w:rPr>
              <w:t>为</w:t>
            </w:r>
            <w:r>
              <w:rPr>
                <w:rFonts w:hint="eastAsia"/>
                <w:color w:val="auto"/>
                <w:sz w:val="24"/>
                <w:szCs w:val="24"/>
              </w:rPr>
              <w:t>1.5万吨/年的塑料颗粒、0.65万吨/年的塑料丝</w:t>
            </w:r>
            <w:r>
              <w:rPr>
                <w:color w:val="auto"/>
                <w:sz w:val="24"/>
                <w:szCs w:val="24"/>
              </w:rPr>
              <w:t>。</w:t>
            </w:r>
          </w:p>
          <w:p>
            <w:pPr>
              <w:spacing w:line="360" w:lineRule="auto"/>
              <w:ind w:firstLine="480" w:firstLineChars="200"/>
              <w:rPr>
                <w:color w:val="auto"/>
                <w:sz w:val="24"/>
                <w:szCs w:val="24"/>
              </w:rPr>
            </w:pPr>
            <w:r>
              <w:rPr>
                <w:rFonts w:hint="eastAsia"/>
                <w:color w:val="auto"/>
                <w:sz w:val="24"/>
                <w:szCs w:val="24"/>
              </w:rPr>
              <w:t>20</w:t>
            </w:r>
            <w:r>
              <w:rPr>
                <w:color w:val="auto"/>
                <w:sz w:val="24"/>
                <w:szCs w:val="24"/>
              </w:rPr>
              <w:t>22</w:t>
            </w:r>
            <w:r>
              <w:rPr>
                <w:rFonts w:hint="eastAsia"/>
                <w:color w:val="auto"/>
                <w:sz w:val="24"/>
                <w:szCs w:val="24"/>
              </w:rPr>
              <w:t>年</w:t>
            </w:r>
            <w:r>
              <w:rPr>
                <w:rFonts w:hint="eastAsia"/>
                <w:color w:val="auto"/>
                <w:sz w:val="24"/>
                <w:szCs w:val="24"/>
                <w:lang w:val="en-US" w:eastAsia="zh-CN"/>
              </w:rPr>
              <w:t>2</w:t>
            </w:r>
            <w:r>
              <w:rPr>
                <w:rFonts w:hint="eastAsia"/>
                <w:color w:val="auto"/>
                <w:sz w:val="24"/>
                <w:szCs w:val="24"/>
              </w:rPr>
              <w:t>月，公司《新建年产3万吨塑料颗粒项目（二期）竣工环境保护验收监测报告表》和《废旧塑料加工生产线技改项目竣工环境保护验收监测报告表》取得自主验收意见并备案，</w:t>
            </w:r>
            <w:r>
              <w:rPr>
                <w:rFonts w:hint="eastAsia"/>
                <w:color w:val="auto"/>
                <w:sz w:val="24"/>
                <w:szCs w:val="24"/>
                <w:lang w:val="en-US" w:eastAsia="zh-CN"/>
              </w:rPr>
              <w:t>见附件13</w:t>
            </w:r>
            <w:r>
              <w:rPr>
                <w:rFonts w:hint="eastAsia"/>
                <w:color w:val="auto"/>
                <w:sz w:val="24"/>
                <w:szCs w:val="24"/>
              </w:rPr>
              <w:t>。全厂产品规模</w:t>
            </w:r>
            <w:r>
              <w:rPr>
                <w:rFonts w:hint="eastAsia"/>
                <w:color w:val="auto"/>
                <w:sz w:val="24"/>
                <w:szCs w:val="24"/>
                <w:lang w:val="en-US" w:eastAsia="zh-CN"/>
              </w:rPr>
              <w:t>为</w:t>
            </w:r>
            <w:r>
              <w:rPr>
                <w:rFonts w:hint="eastAsia"/>
                <w:color w:val="auto"/>
                <w:sz w:val="24"/>
                <w:szCs w:val="24"/>
              </w:rPr>
              <w:t>1.5万吨/年的塑料颗粒、0.65万吨/年的塑料丝</w:t>
            </w:r>
            <w:r>
              <w:rPr>
                <w:color w:val="auto"/>
                <w:sz w:val="24"/>
                <w:szCs w:val="24"/>
              </w:rPr>
              <w:t>。</w:t>
            </w:r>
          </w:p>
          <w:p>
            <w:pPr>
              <w:spacing w:line="360" w:lineRule="auto"/>
              <w:ind w:firstLine="480" w:firstLineChars="200"/>
              <w:rPr>
                <w:color w:val="auto"/>
                <w:sz w:val="24"/>
                <w:szCs w:val="24"/>
              </w:rPr>
            </w:pPr>
            <w:r>
              <w:rPr>
                <w:rFonts w:hint="eastAsia"/>
                <w:color w:val="auto"/>
                <w:sz w:val="24"/>
                <w:szCs w:val="24"/>
              </w:rPr>
              <w:t>乐山图南再生资源回收利用有限公司已于2019年12月05日取得排污许可证，管理类别：简化管理；许可证编号：91511123MA64KX8G2G001V；</w:t>
            </w:r>
            <w:r>
              <w:rPr>
                <w:rFonts w:hint="eastAsia"/>
                <w:color w:val="auto"/>
                <w:sz w:val="24"/>
                <w:szCs w:val="24"/>
                <w:lang w:val="en-US" w:eastAsia="zh-CN"/>
              </w:rPr>
              <w:t>企业</w:t>
            </w:r>
            <w:r>
              <w:rPr>
                <w:rFonts w:hint="eastAsia"/>
                <w:color w:val="auto"/>
                <w:sz w:val="24"/>
                <w:szCs w:val="24"/>
              </w:rPr>
              <w:t>于2022年01月15日变更了排污许可证。</w:t>
            </w:r>
          </w:p>
          <w:p>
            <w:pPr>
              <w:spacing w:line="360" w:lineRule="auto"/>
              <w:ind w:firstLine="480" w:firstLineChars="200"/>
              <w:rPr>
                <w:color w:val="auto"/>
                <w:sz w:val="24"/>
                <w:szCs w:val="24"/>
              </w:rPr>
            </w:pPr>
            <w:r>
              <w:rPr>
                <w:rFonts w:hint="eastAsia"/>
                <w:color w:val="auto"/>
                <w:sz w:val="24"/>
                <w:szCs w:val="24"/>
                <w:lang w:val="en-US" w:eastAsia="zh-CN"/>
              </w:rPr>
              <w:t>因项目所处园区周边敏感点较多，为进一步减少污染物排放，降低对周边居民印象，</w:t>
            </w:r>
            <w:r>
              <w:rPr>
                <w:rFonts w:hint="eastAsia"/>
                <w:color w:val="auto"/>
                <w:sz w:val="24"/>
                <w:szCs w:val="24"/>
              </w:rPr>
              <w:t>202</w:t>
            </w:r>
            <w:r>
              <w:rPr>
                <w:color w:val="auto"/>
                <w:sz w:val="24"/>
                <w:szCs w:val="24"/>
              </w:rPr>
              <w:t>2</w:t>
            </w:r>
            <w:r>
              <w:rPr>
                <w:rFonts w:hint="eastAsia"/>
                <w:color w:val="auto"/>
                <w:sz w:val="24"/>
                <w:szCs w:val="24"/>
              </w:rPr>
              <w:t>年4月，乐山图南再生资源回收利用有限公司</w:t>
            </w:r>
            <w:r>
              <w:rPr>
                <w:rFonts w:hint="eastAsia"/>
                <w:color w:val="auto"/>
                <w:sz w:val="24"/>
                <w:szCs w:val="24"/>
                <w:lang w:val="en-US" w:eastAsia="zh-CN"/>
              </w:rPr>
              <w:t>拟建设“图南圆织生产线技改项目”</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该项目建设内容为</w:t>
            </w:r>
            <w:r>
              <w:rPr>
                <w:rFonts w:hint="eastAsia"/>
                <w:color w:val="auto"/>
                <w:sz w:val="24"/>
                <w:szCs w:val="24"/>
                <w:lang w:val="en-US" w:eastAsia="zh-CN"/>
              </w:rPr>
              <w:t>取消</w:t>
            </w:r>
            <w:r>
              <w:rPr>
                <w:rFonts w:hint="eastAsia"/>
                <w:color w:val="auto"/>
                <w:sz w:val="24"/>
                <w:szCs w:val="24"/>
              </w:rPr>
              <w:t>现有</w:t>
            </w:r>
            <w:r>
              <w:rPr>
                <w:color w:val="auto"/>
                <w:sz w:val="24"/>
                <w:szCs w:val="24"/>
              </w:rPr>
              <w:t>3</w:t>
            </w:r>
            <w:r>
              <w:rPr>
                <w:rFonts w:hint="eastAsia"/>
                <w:color w:val="auto"/>
                <w:sz w:val="24"/>
                <w:szCs w:val="24"/>
              </w:rPr>
              <w:t>条塑料颗粒生产线中的1条生产线（生产规模为年产塑料颗粒0.5万吨）</w:t>
            </w:r>
            <w:r>
              <w:rPr>
                <w:rFonts w:hint="eastAsia"/>
                <w:color w:val="auto"/>
                <w:sz w:val="24"/>
                <w:szCs w:val="24"/>
                <w:lang w:eastAsia="zh-CN"/>
              </w:rPr>
              <w:t>，</w:t>
            </w:r>
            <w:r>
              <w:rPr>
                <w:rFonts w:hint="eastAsia"/>
                <w:color w:val="auto"/>
                <w:sz w:val="24"/>
                <w:szCs w:val="24"/>
                <w:lang w:val="en-US" w:eastAsia="zh-CN"/>
              </w:rPr>
              <w:t>并将现有塑料丝生产线</w:t>
            </w:r>
            <w:r>
              <w:rPr>
                <w:rFonts w:hint="eastAsia"/>
                <w:color w:val="auto"/>
                <w:sz w:val="24"/>
                <w:szCs w:val="24"/>
              </w:rPr>
              <w:t>（生产规模为年产</w:t>
            </w:r>
            <w:r>
              <w:rPr>
                <w:rFonts w:hint="eastAsia"/>
                <w:color w:val="auto"/>
                <w:sz w:val="24"/>
                <w:szCs w:val="24"/>
                <w:lang w:eastAsia="zh-CN"/>
              </w:rPr>
              <w:t>塑料</w:t>
            </w:r>
            <w:r>
              <w:rPr>
                <w:rFonts w:hint="eastAsia"/>
                <w:color w:val="auto"/>
                <w:sz w:val="24"/>
                <w:szCs w:val="24"/>
                <w:lang w:val="en-US" w:eastAsia="zh-CN"/>
              </w:rPr>
              <w:t>丝</w:t>
            </w:r>
            <w:r>
              <w:rPr>
                <w:rFonts w:hint="eastAsia"/>
                <w:color w:val="auto"/>
                <w:sz w:val="24"/>
                <w:szCs w:val="24"/>
              </w:rPr>
              <w:t>0.</w:t>
            </w:r>
            <w:r>
              <w:rPr>
                <w:rFonts w:hint="eastAsia"/>
                <w:color w:val="auto"/>
                <w:sz w:val="24"/>
                <w:szCs w:val="24"/>
                <w:lang w:val="en-US" w:eastAsia="zh-CN"/>
              </w:rPr>
              <w:t>65</w:t>
            </w:r>
            <w:r>
              <w:rPr>
                <w:rFonts w:hint="eastAsia"/>
                <w:color w:val="auto"/>
                <w:sz w:val="24"/>
                <w:szCs w:val="24"/>
              </w:rPr>
              <w:t>万吨）</w:t>
            </w:r>
            <w:r>
              <w:rPr>
                <w:rFonts w:hint="eastAsia"/>
                <w:color w:val="auto"/>
                <w:sz w:val="24"/>
                <w:szCs w:val="24"/>
                <w:lang w:val="en-US" w:eastAsia="zh-CN"/>
              </w:rPr>
              <w:t>改造</w:t>
            </w:r>
            <w:r>
              <w:rPr>
                <w:rFonts w:hint="eastAsia"/>
                <w:color w:val="auto"/>
                <w:sz w:val="24"/>
                <w:szCs w:val="24"/>
              </w:rPr>
              <w:t>为1条圆织生产线（生产规模为年产</w:t>
            </w:r>
            <w:r>
              <w:rPr>
                <w:rFonts w:hint="eastAsia"/>
                <w:color w:val="auto"/>
                <w:sz w:val="24"/>
                <w:szCs w:val="24"/>
                <w:lang w:eastAsia="zh-CN"/>
              </w:rPr>
              <w:t>塑料编织布</w:t>
            </w:r>
            <w:r>
              <w:rPr>
                <w:rFonts w:hint="eastAsia"/>
                <w:color w:val="auto"/>
                <w:sz w:val="24"/>
                <w:szCs w:val="24"/>
              </w:rPr>
              <w:t>0.</w:t>
            </w:r>
            <w:r>
              <w:rPr>
                <w:rFonts w:hint="eastAsia"/>
                <w:color w:val="auto"/>
                <w:sz w:val="24"/>
                <w:szCs w:val="24"/>
                <w:lang w:val="en-US" w:eastAsia="zh-CN"/>
              </w:rPr>
              <w:t>65</w:t>
            </w:r>
            <w:r>
              <w:rPr>
                <w:rFonts w:hint="eastAsia"/>
                <w:color w:val="auto"/>
                <w:sz w:val="24"/>
                <w:szCs w:val="24"/>
              </w:rPr>
              <w:t>万吨）。</w:t>
            </w:r>
            <w:r>
              <w:rPr>
                <w:rFonts w:hint="eastAsia"/>
                <w:color w:val="auto"/>
                <w:sz w:val="24"/>
                <w:szCs w:val="24"/>
                <w:lang w:val="en-US" w:eastAsia="zh-CN"/>
              </w:rPr>
              <w:t>改造内容为</w:t>
            </w:r>
            <w:r>
              <w:rPr>
                <w:rFonts w:hint="eastAsia"/>
                <w:color w:val="auto"/>
                <w:sz w:val="24"/>
                <w:szCs w:val="32"/>
                <w:lang w:val="en-US" w:eastAsia="zh-CN"/>
              </w:rPr>
              <w:t>仅在现有塑料丝生产线成丝后端增加圆织机，通过圆织机生产塑料编织布</w:t>
            </w:r>
            <w:r>
              <w:rPr>
                <w:rFonts w:hint="eastAsia"/>
                <w:color w:val="auto"/>
                <w:sz w:val="24"/>
                <w:szCs w:val="32"/>
              </w:rPr>
              <w:t>。项目</w:t>
            </w:r>
            <w:r>
              <w:rPr>
                <w:rFonts w:hint="eastAsia"/>
                <w:color w:val="auto"/>
                <w:sz w:val="24"/>
                <w:szCs w:val="32"/>
                <w:lang w:val="en-US" w:eastAsia="zh-CN"/>
              </w:rPr>
              <w:t>技改</w:t>
            </w:r>
            <w:r>
              <w:rPr>
                <w:rFonts w:hint="eastAsia"/>
                <w:color w:val="auto"/>
                <w:sz w:val="24"/>
                <w:szCs w:val="32"/>
              </w:rPr>
              <w:t>后全厂产品规模</w:t>
            </w:r>
            <w:r>
              <w:rPr>
                <w:rFonts w:hint="eastAsia"/>
                <w:color w:val="auto"/>
                <w:sz w:val="24"/>
                <w:szCs w:val="32"/>
                <w:lang w:val="en-US" w:eastAsia="zh-CN"/>
              </w:rPr>
              <w:t>由1</w:t>
            </w:r>
            <w:r>
              <w:rPr>
                <w:rFonts w:hint="eastAsia"/>
                <w:color w:val="auto"/>
                <w:sz w:val="24"/>
                <w:szCs w:val="32"/>
              </w:rPr>
              <w:t>.5万吨</w:t>
            </w:r>
            <w:r>
              <w:rPr>
                <w:rFonts w:hint="eastAsia"/>
                <w:color w:val="auto"/>
                <w:sz w:val="24"/>
                <w:szCs w:val="32"/>
                <w:lang w:val="en-US" w:eastAsia="zh-CN"/>
              </w:rPr>
              <w:t>/</w:t>
            </w:r>
            <w:r>
              <w:rPr>
                <w:rFonts w:hint="eastAsia"/>
                <w:color w:val="auto"/>
                <w:sz w:val="24"/>
                <w:szCs w:val="32"/>
              </w:rPr>
              <w:t>年的塑料颗粒</w:t>
            </w:r>
            <w:r>
              <w:rPr>
                <w:rFonts w:hint="eastAsia"/>
                <w:color w:val="auto"/>
                <w:sz w:val="24"/>
                <w:szCs w:val="32"/>
                <w:lang w:eastAsia="zh-CN"/>
              </w:rPr>
              <w:t>、</w:t>
            </w:r>
            <w:r>
              <w:rPr>
                <w:rFonts w:hint="eastAsia"/>
                <w:color w:val="auto"/>
                <w:sz w:val="24"/>
                <w:szCs w:val="32"/>
              </w:rPr>
              <w:t>0</w:t>
            </w:r>
            <w:r>
              <w:rPr>
                <w:color w:val="auto"/>
                <w:sz w:val="24"/>
                <w:szCs w:val="32"/>
              </w:rPr>
              <w:t>.</w:t>
            </w:r>
            <w:r>
              <w:rPr>
                <w:rFonts w:hint="eastAsia"/>
                <w:color w:val="auto"/>
                <w:sz w:val="24"/>
                <w:szCs w:val="32"/>
                <w:lang w:val="en-US" w:eastAsia="zh-CN"/>
              </w:rPr>
              <w:t>65</w:t>
            </w:r>
            <w:r>
              <w:rPr>
                <w:rFonts w:hint="eastAsia"/>
                <w:color w:val="auto"/>
                <w:sz w:val="24"/>
                <w:szCs w:val="32"/>
              </w:rPr>
              <w:t>万吨/年的塑料</w:t>
            </w:r>
            <w:r>
              <w:rPr>
                <w:rFonts w:hint="eastAsia"/>
                <w:color w:val="auto"/>
                <w:sz w:val="24"/>
                <w:szCs w:val="32"/>
                <w:lang w:val="en-US" w:eastAsia="zh-CN"/>
              </w:rPr>
              <w:t>丝变更</w:t>
            </w:r>
            <w:r>
              <w:rPr>
                <w:rFonts w:hint="eastAsia"/>
                <w:color w:val="auto"/>
                <w:sz w:val="24"/>
                <w:szCs w:val="32"/>
              </w:rPr>
              <w:t>为1.</w:t>
            </w:r>
            <w:r>
              <w:rPr>
                <w:color w:val="auto"/>
                <w:sz w:val="24"/>
                <w:szCs w:val="32"/>
              </w:rPr>
              <w:t>0</w:t>
            </w:r>
            <w:r>
              <w:rPr>
                <w:rFonts w:hint="eastAsia"/>
                <w:color w:val="auto"/>
                <w:sz w:val="24"/>
                <w:szCs w:val="32"/>
              </w:rPr>
              <w:t>万吨/年的塑料颗粒、0</w:t>
            </w:r>
            <w:r>
              <w:rPr>
                <w:color w:val="auto"/>
                <w:sz w:val="24"/>
                <w:szCs w:val="32"/>
              </w:rPr>
              <w:t>.</w:t>
            </w:r>
            <w:r>
              <w:rPr>
                <w:rFonts w:hint="eastAsia"/>
                <w:color w:val="auto"/>
                <w:sz w:val="24"/>
                <w:szCs w:val="32"/>
                <w:lang w:val="en-US" w:eastAsia="zh-CN"/>
              </w:rPr>
              <w:t>65</w:t>
            </w:r>
            <w:r>
              <w:rPr>
                <w:rFonts w:hint="eastAsia"/>
                <w:color w:val="auto"/>
                <w:sz w:val="24"/>
                <w:szCs w:val="32"/>
              </w:rPr>
              <w:t>万吨/年的塑料编</w:t>
            </w:r>
            <w:r>
              <w:rPr>
                <w:rFonts w:hint="eastAsia"/>
                <w:color w:val="auto"/>
                <w:sz w:val="24"/>
                <w:szCs w:val="32"/>
                <w:lang w:val="en-US" w:eastAsia="zh-CN"/>
              </w:rPr>
              <w:t>织布</w:t>
            </w:r>
            <w:r>
              <w:rPr>
                <w:color w:val="auto"/>
                <w:sz w:val="24"/>
                <w:szCs w:val="24"/>
              </w:rPr>
              <w:t>。</w:t>
            </w:r>
          </w:p>
          <w:p>
            <w:pPr>
              <w:spacing w:line="360" w:lineRule="auto"/>
              <w:ind w:firstLine="480" w:firstLineChars="200"/>
              <w:rPr>
                <w:color w:val="auto"/>
                <w:sz w:val="24"/>
                <w:szCs w:val="24"/>
              </w:rPr>
            </w:pPr>
            <w:r>
              <w:rPr>
                <w:color w:val="auto"/>
                <w:sz w:val="24"/>
                <w:szCs w:val="24"/>
              </w:rPr>
              <w:t>根据《中华人民共和国环境保护法》、《中华人民共和国环境影响评价法》、中华人民共和国国务院第682号令《建设项目环境保护管理条例》的要求，该项目应进行环境影响评价。</w:t>
            </w:r>
            <w:r>
              <w:rPr>
                <w:rFonts w:hint="eastAsia"/>
                <w:color w:val="auto"/>
                <w:sz w:val="24"/>
                <w:szCs w:val="24"/>
              </w:rPr>
              <w:t>根据《国民经济行业分类》（GB/T 4754-2017），本项目为“非金属废料和碎屑加工处理 C4220”；根据《建设项目环境影响评价分类管理名录》（2021年版），本项目为“三十九、废弃资源综合利用业”中“85 非金属废料和碎屑加工处理422”（原料不涉及危险废物，工艺不仅为分拣、破碎），故应编制环境影响评价报告表</w:t>
            </w:r>
            <w:r>
              <w:rPr>
                <w:color w:val="auto"/>
                <w:sz w:val="24"/>
                <w:szCs w:val="24"/>
              </w:rPr>
              <w:t>。</w:t>
            </w:r>
          </w:p>
          <w:p>
            <w:pPr>
              <w:pStyle w:val="71"/>
              <w:spacing w:before="0" w:beforeLines="0" w:line="360" w:lineRule="auto"/>
              <w:ind w:firstLine="480" w:firstLineChars="200"/>
              <w:rPr>
                <w:b w:val="0"/>
                <w:bCs/>
                <w:color w:val="auto"/>
                <w:sz w:val="24"/>
                <w:szCs w:val="24"/>
              </w:rPr>
            </w:pPr>
            <w:r>
              <w:rPr>
                <w:rFonts w:hint="eastAsia"/>
                <w:b w:val="0"/>
                <w:bCs/>
                <w:color w:val="auto"/>
                <w:sz w:val="24"/>
                <w:szCs w:val="24"/>
              </w:rPr>
              <w:t>为此，建设单位委托我单位进行环境影响评价工作。接受委托后，评价单位即派有关人员进行现场踏勘和资料收集，在完成工程分析和环境影响因素识别的基础上，按照有关法律、法规和“环评技术导则”等技术规范要求，编制完成《图南圆织生产线技改项目环境影响报告表》，现上报审批</w:t>
            </w:r>
            <w:r>
              <w:rPr>
                <w:b w:val="0"/>
                <w:bCs/>
                <w:color w:val="auto"/>
                <w:sz w:val="24"/>
                <w:szCs w:val="24"/>
              </w:rPr>
              <w:t>。</w:t>
            </w:r>
          </w:p>
          <w:p>
            <w:pPr>
              <w:pStyle w:val="71"/>
              <w:spacing w:before="0" w:beforeLines="0" w:line="360" w:lineRule="auto"/>
              <w:ind w:left="0" w:leftChars="0" w:firstLine="0" w:firstLineChars="0"/>
              <w:rPr>
                <w:color w:val="auto"/>
                <w:sz w:val="24"/>
                <w:szCs w:val="24"/>
              </w:rPr>
            </w:pPr>
            <w:r>
              <w:rPr>
                <w:color w:val="auto"/>
                <w:sz w:val="24"/>
                <w:szCs w:val="24"/>
              </w:rPr>
              <w:t>二</w:t>
            </w:r>
            <w:r>
              <w:rPr>
                <w:rFonts w:hint="eastAsia"/>
                <w:color w:val="auto"/>
                <w:sz w:val="24"/>
                <w:szCs w:val="24"/>
                <w:lang w:eastAsia="zh-CN"/>
              </w:rPr>
              <w:t>、</w:t>
            </w:r>
            <w:r>
              <w:rPr>
                <w:color w:val="auto"/>
                <w:sz w:val="24"/>
                <w:szCs w:val="24"/>
              </w:rPr>
              <w:t>工程内容及规模</w:t>
            </w:r>
          </w:p>
          <w:p>
            <w:pPr>
              <w:pStyle w:val="70"/>
              <w:spacing w:line="360" w:lineRule="auto"/>
              <w:ind w:firstLine="482" w:firstLineChars="200"/>
              <w:rPr>
                <w:color w:val="auto"/>
                <w:sz w:val="24"/>
                <w:szCs w:val="24"/>
              </w:rPr>
            </w:pPr>
            <w:r>
              <w:rPr>
                <w:color w:val="auto"/>
                <w:sz w:val="24"/>
                <w:szCs w:val="24"/>
              </w:rPr>
              <w:t>1、拟建项目基本情况</w:t>
            </w:r>
          </w:p>
          <w:p>
            <w:pPr>
              <w:pStyle w:val="69"/>
              <w:spacing w:line="360" w:lineRule="auto"/>
              <w:ind w:firstLine="482"/>
              <w:rPr>
                <w:color w:val="auto"/>
                <w:sz w:val="24"/>
                <w:szCs w:val="24"/>
              </w:rPr>
            </w:pPr>
            <w:r>
              <w:rPr>
                <w:b/>
                <w:color w:val="auto"/>
                <w:sz w:val="24"/>
                <w:szCs w:val="24"/>
              </w:rPr>
              <w:t>项目名称</w:t>
            </w:r>
            <w:r>
              <w:rPr>
                <w:color w:val="auto"/>
                <w:sz w:val="24"/>
                <w:szCs w:val="24"/>
              </w:rPr>
              <w:t>：</w:t>
            </w:r>
            <w:r>
              <w:rPr>
                <w:rFonts w:hint="eastAsia"/>
                <w:bCs/>
                <w:color w:val="auto"/>
                <w:sz w:val="24"/>
                <w:szCs w:val="24"/>
              </w:rPr>
              <w:t>图南圆织生产线技改项目</w:t>
            </w:r>
          </w:p>
          <w:p>
            <w:pPr>
              <w:pStyle w:val="69"/>
              <w:spacing w:line="360" w:lineRule="auto"/>
              <w:ind w:firstLine="482"/>
              <w:rPr>
                <w:rFonts w:hint="default" w:ascii="Times New Roman" w:hAnsi="Times New Roman" w:eastAsia="宋体" w:cs="Times New Roman"/>
                <w:color w:val="auto"/>
                <w:sz w:val="24"/>
                <w:szCs w:val="24"/>
                <w:lang w:val="en-US" w:eastAsia="zh-CN"/>
              </w:rPr>
            </w:pPr>
            <w:r>
              <w:rPr>
                <w:b/>
                <w:color w:val="auto"/>
                <w:sz w:val="24"/>
                <w:szCs w:val="24"/>
              </w:rPr>
              <w:t>建设性质</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技改</w:t>
            </w:r>
          </w:p>
          <w:p>
            <w:pPr>
              <w:pStyle w:val="69"/>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建设地点</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rPr>
              <w:t>乐山市犍为县舞雩镇石马坝园区（</w:t>
            </w:r>
            <w:r>
              <w:rPr>
                <w:rFonts w:hint="default" w:ascii="Times New Roman" w:hAnsi="Times New Roman" w:eastAsia="宋体" w:cs="Times New Roman"/>
                <w:color w:val="auto"/>
                <w:sz w:val="24"/>
                <w:szCs w:val="24"/>
              </w:rPr>
              <w:t>东经103°51'38.641"，北纬29°16′12.609″</w:t>
            </w:r>
            <w:r>
              <w:rPr>
                <w:rFonts w:hint="default" w:ascii="Times New Roman" w:hAnsi="Times New Roman" w:eastAsia="宋体" w:cs="Times New Roman"/>
                <w:bCs/>
                <w:color w:val="auto"/>
                <w:sz w:val="24"/>
                <w:szCs w:val="24"/>
              </w:rPr>
              <w:t>）</w:t>
            </w:r>
          </w:p>
          <w:p>
            <w:pPr>
              <w:pStyle w:val="69"/>
              <w:spacing w:line="360" w:lineRule="auto"/>
              <w:ind w:firstLine="482"/>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建设内容：</w:t>
            </w:r>
            <w:r>
              <w:rPr>
                <w:rFonts w:hint="eastAsia"/>
                <w:color w:val="auto"/>
                <w:sz w:val="24"/>
                <w:szCs w:val="24"/>
                <w:lang w:val="en-US" w:eastAsia="zh-CN"/>
              </w:rPr>
              <w:t>本次技改拟取消</w:t>
            </w:r>
            <w:r>
              <w:rPr>
                <w:rFonts w:hint="eastAsia"/>
                <w:color w:val="auto"/>
                <w:sz w:val="24"/>
                <w:szCs w:val="24"/>
              </w:rPr>
              <w:t>现有</w:t>
            </w:r>
            <w:r>
              <w:rPr>
                <w:rFonts w:hint="eastAsia"/>
                <w:color w:val="auto"/>
                <w:sz w:val="24"/>
                <w:szCs w:val="24"/>
                <w:lang w:val="en-US" w:eastAsia="zh-CN"/>
              </w:rPr>
              <w:t>1</w:t>
            </w:r>
            <w:r>
              <w:rPr>
                <w:rFonts w:hint="eastAsia"/>
                <w:color w:val="auto"/>
                <w:sz w:val="24"/>
                <w:szCs w:val="24"/>
              </w:rPr>
              <w:t>条塑料颗粒生产线（生产规模为年产塑料颗粒0.5万吨）</w:t>
            </w:r>
            <w:r>
              <w:rPr>
                <w:rFonts w:hint="eastAsia"/>
                <w:color w:val="auto"/>
                <w:sz w:val="24"/>
                <w:szCs w:val="24"/>
                <w:lang w:eastAsia="zh-CN"/>
              </w:rPr>
              <w:t>，</w:t>
            </w:r>
            <w:r>
              <w:rPr>
                <w:rFonts w:hint="eastAsia"/>
                <w:color w:val="auto"/>
                <w:sz w:val="24"/>
                <w:szCs w:val="24"/>
                <w:lang w:val="en-US" w:eastAsia="zh-CN"/>
              </w:rPr>
              <w:t>塑料丝生产全部改为新料，并</w:t>
            </w:r>
            <w:r>
              <w:rPr>
                <w:color w:val="auto"/>
                <w:sz w:val="24"/>
                <w:szCs w:val="24"/>
              </w:rPr>
              <w:t>计划购置</w:t>
            </w:r>
            <w:r>
              <w:rPr>
                <w:rFonts w:hint="eastAsia"/>
                <w:color w:val="auto"/>
                <w:sz w:val="24"/>
                <w:szCs w:val="24"/>
              </w:rPr>
              <w:t>圆织机</w:t>
            </w:r>
            <w:r>
              <w:rPr>
                <w:rFonts w:hint="eastAsia"/>
                <w:color w:val="auto"/>
                <w:sz w:val="24"/>
                <w:szCs w:val="24"/>
                <w:lang w:val="en-US" w:eastAsia="zh-CN"/>
              </w:rPr>
              <w:t>150台</w:t>
            </w:r>
            <w:r>
              <w:rPr>
                <w:rFonts w:hint="eastAsia"/>
                <w:color w:val="auto"/>
                <w:sz w:val="24"/>
                <w:szCs w:val="24"/>
              </w:rPr>
              <w:t>，</w:t>
            </w:r>
            <w:r>
              <w:rPr>
                <w:rFonts w:hint="eastAsia"/>
                <w:color w:val="auto"/>
                <w:sz w:val="24"/>
                <w:szCs w:val="24"/>
                <w:lang w:val="en-US" w:eastAsia="zh-CN"/>
              </w:rPr>
              <w:t>在现有</w:t>
            </w:r>
            <w:r>
              <w:rPr>
                <w:rFonts w:hint="eastAsia"/>
                <w:color w:val="auto"/>
                <w:sz w:val="24"/>
                <w:szCs w:val="24"/>
              </w:rPr>
              <w:t>0.</w:t>
            </w:r>
            <w:r>
              <w:rPr>
                <w:rFonts w:hint="eastAsia"/>
                <w:color w:val="auto"/>
                <w:sz w:val="24"/>
                <w:szCs w:val="24"/>
                <w:lang w:val="en-US" w:eastAsia="zh-CN"/>
              </w:rPr>
              <w:t>65</w:t>
            </w:r>
            <w:r>
              <w:rPr>
                <w:rFonts w:hint="eastAsia"/>
                <w:color w:val="auto"/>
                <w:sz w:val="24"/>
                <w:szCs w:val="24"/>
              </w:rPr>
              <w:t>万吨</w:t>
            </w:r>
            <w:r>
              <w:rPr>
                <w:rFonts w:hint="eastAsia"/>
                <w:color w:val="auto"/>
                <w:sz w:val="24"/>
                <w:szCs w:val="24"/>
                <w:lang w:val="en-US" w:eastAsia="zh-CN"/>
              </w:rPr>
              <w:t>/年塑料丝生产线成丝后端增加圆织生产线</w:t>
            </w:r>
            <w:r>
              <w:rPr>
                <w:rFonts w:hint="eastAsia"/>
                <w:color w:val="auto"/>
                <w:sz w:val="24"/>
                <w:szCs w:val="24"/>
              </w:rPr>
              <w:t>。项目</w:t>
            </w:r>
            <w:r>
              <w:rPr>
                <w:rFonts w:hint="eastAsia"/>
                <w:color w:val="auto"/>
                <w:sz w:val="24"/>
                <w:szCs w:val="24"/>
                <w:lang w:val="en-US" w:eastAsia="zh-CN"/>
              </w:rPr>
              <w:t>技改</w:t>
            </w:r>
            <w:r>
              <w:rPr>
                <w:rFonts w:hint="eastAsia"/>
                <w:color w:val="auto"/>
                <w:sz w:val="24"/>
                <w:szCs w:val="24"/>
              </w:rPr>
              <w:t>后全厂产品规模</w:t>
            </w:r>
            <w:r>
              <w:rPr>
                <w:rFonts w:hint="eastAsia"/>
                <w:color w:val="auto"/>
                <w:sz w:val="24"/>
                <w:szCs w:val="24"/>
                <w:lang w:val="en-US" w:eastAsia="zh-CN"/>
              </w:rPr>
              <w:t>由1</w:t>
            </w:r>
            <w:r>
              <w:rPr>
                <w:rFonts w:hint="eastAsia"/>
                <w:color w:val="auto"/>
                <w:sz w:val="24"/>
                <w:szCs w:val="24"/>
              </w:rPr>
              <w:t>.5万吨</w:t>
            </w:r>
            <w:r>
              <w:rPr>
                <w:rFonts w:hint="eastAsia"/>
                <w:color w:val="auto"/>
                <w:sz w:val="24"/>
                <w:szCs w:val="24"/>
                <w:lang w:val="en-US" w:eastAsia="zh-CN"/>
              </w:rPr>
              <w:t>/</w:t>
            </w:r>
            <w:r>
              <w:rPr>
                <w:rFonts w:hint="eastAsia"/>
                <w:color w:val="auto"/>
                <w:sz w:val="24"/>
                <w:szCs w:val="24"/>
              </w:rPr>
              <w:t>年塑料颗粒</w:t>
            </w:r>
            <w:r>
              <w:rPr>
                <w:rFonts w:hint="eastAsia"/>
                <w:color w:val="auto"/>
                <w:sz w:val="24"/>
                <w:szCs w:val="24"/>
                <w:lang w:eastAsia="zh-CN"/>
              </w:rPr>
              <w:t>，</w:t>
            </w:r>
            <w:r>
              <w:rPr>
                <w:rFonts w:hint="eastAsia"/>
                <w:color w:val="auto"/>
                <w:sz w:val="24"/>
                <w:szCs w:val="24"/>
              </w:rPr>
              <w:t>0</w:t>
            </w:r>
            <w:r>
              <w:rPr>
                <w:color w:val="auto"/>
                <w:sz w:val="24"/>
                <w:szCs w:val="24"/>
              </w:rPr>
              <w:t>.</w:t>
            </w:r>
            <w:r>
              <w:rPr>
                <w:rFonts w:hint="eastAsia"/>
                <w:color w:val="auto"/>
                <w:sz w:val="24"/>
                <w:szCs w:val="24"/>
                <w:lang w:val="en-US" w:eastAsia="zh-CN"/>
              </w:rPr>
              <w:t>65</w:t>
            </w:r>
            <w:r>
              <w:rPr>
                <w:rFonts w:hint="eastAsia"/>
                <w:color w:val="auto"/>
                <w:sz w:val="24"/>
                <w:szCs w:val="24"/>
              </w:rPr>
              <w:t>万吨/年的塑料</w:t>
            </w:r>
            <w:r>
              <w:rPr>
                <w:rFonts w:hint="eastAsia"/>
                <w:color w:val="auto"/>
                <w:sz w:val="24"/>
                <w:szCs w:val="24"/>
                <w:lang w:val="en-US" w:eastAsia="zh-CN"/>
              </w:rPr>
              <w:t>丝变更</w:t>
            </w:r>
            <w:r>
              <w:rPr>
                <w:rFonts w:hint="eastAsia"/>
                <w:color w:val="auto"/>
                <w:sz w:val="24"/>
                <w:szCs w:val="24"/>
              </w:rPr>
              <w:t>为1.</w:t>
            </w:r>
            <w:r>
              <w:rPr>
                <w:color w:val="auto"/>
                <w:sz w:val="24"/>
                <w:szCs w:val="24"/>
              </w:rPr>
              <w:t>0</w:t>
            </w:r>
            <w:r>
              <w:rPr>
                <w:rFonts w:hint="eastAsia"/>
                <w:color w:val="auto"/>
                <w:sz w:val="24"/>
                <w:szCs w:val="24"/>
              </w:rPr>
              <w:t>万吨/年的塑料颗粒、0</w:t>
            </w:r>
            <w:r>
              <w:rPr>
                <w:color w:val="auto"/>
                <w:sz w:val="24"/>
                <w:szCs w:val="24"/>
              </w:rPr>
              <w:t>.</w:t>
            </w:r>
            <w:r>
              <w:rPr>
                <w:rFonts w:hint="eastAsia"/>
                <w:color w:val="auto"/>
                <w:sz w:val="24"/>
                <w:szCs w:val="24"/>
                <w:lang w:val="en-US" w:eastAsia="zh-CN"/>
              </w:rPr>
              <w:t>65</w:t>
            </w:r>
            <w:r>
              <w:rPr>
                <w:rFonts w:hint="eastAsia"/>
                <w:color w:val="auto"/>
                <w:sz w:val="24"/>
                <w:szCs w:val="24"/>
              </w:rPr>
              <w:t>万吨/年的塑料编</w:t>
            </w:r>
            <w:r>
              <w:rPr>
                <w:rFonts w:hint="eastAsia"/>
                <w:color w:val="auto"/>
                <w:sz w:val="24"/>
                <w:szCs w:val="24"/>
                <w:lang w:val="en-US" w:eastAsia="zh-CN"/>
              </w:rPr>
              <w:t>织布</w:t>
            </w:r>
            <w:r>
              <w:rPr>
                <w:color w:val="auto"/>
                <w:sz w:val="24"/>
                <w:szCs w:val="24"/>
              </w:rPr>
              <w:t>。</w:t>
            </w:r>
            <w:r>
              <w:rPr>
                <w:rFonts w:hint="eastAsia"/>
                <w:color w:val="auto"/>
                <w:sz w:val="24"/>
                <w:szCs w:val="24"/>
                <w:lang w:val="en-US" w:eastAsia="zh-CN"/>
              </w:rPr>
              <w:t>同时，根据现行环保规定，取消烧网工序。</w:t>
            </w:r>
          </w:p>
          <w:p>
            <w:pPr>
              <w:pStyle w:val="69"/>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工作制度：</w:t>
            </w:r>
            <w:r>
              <w:rPr>
                <w:rFonts w:hint="default" w:ascii="Times New Roman" w:hAnsi="Times New Roman" w:eastAsia="宋体" w:cs="Times New Roman"/>
                <w:color w:val="auto"/>
                <w:sz w:val="24"/>
                <w:szCs w:val="24"/>
              </w:rPr>
              <w:t>生产区采取三班制，单班工作时间8小时，办公区采取白班制，年工作300天</w:t>
            </w:r>
          </w:p>
          <w:p>
            <w:pPr>
              <w:pStyle w:val="69"/>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劳动定员</w:t>
            </w:r>
            <w:r>
              <w:rPr>
                <w:rFonts w:hint="default" w:ascii="Times New Roman" w:hAnsi="Times New Roman" w:eastAsia="宋体" w:cs="Times New Roman"/>
                <w:color w:val="auto"/>
                <w:sz w:val="24"/>
                <w:szCs w:val="24"/>
                <w:highlight w:val="none"/>
              </w:rPr>
              <w:t>：厂内现有劳动定员为60人，本</w:t>
            </w:r>
            <w:r>
              <w:rPr>
                <w:rFonts w:hint="eastAsia" w:cs="Times New Roman"/>
                <w:color w:val="auto"/>
                <w:sz w:val="24"/>
                <w:szCs w:val="24"/>
                <w:highlight w:val="none"/>
                <w:lang w:val="en-US" w:eastAsia="zh-CN"/>
              </w:rPr>
              <w:t>次技改人员分工进行调配，不新增劳动定员</w:t>
            </w:r>
            <w:r>
              <w:rPr>
                <w:rFonts w:hint="default" w:ascii="Times New Roman" w:hAnsi="Times New Roman" w:eastAsia="宋体" w:cs="Times New Roman"/>
                <w:color w:val="auto"/>
                <w:sz w:val="24"/>
                <w:szCs w:val="24"/>
                <w:highlight w:val="none"/>
              </w:rPr>
              <w:t>。</w:t>
            </w:r>
          </w:p>
          <w:p>
            <w:pPr>
              <w:pStyle w:val="70"/>
              <w:spacing w:line="360" w:lineRule="auto"/>
              <w:ind w:firstLine="482" w:firstLineChars="200"/>
              <w:rPr>
                <w:color w:val="auto"/>
                <w:sz w:val="24"/>
                <w:szCs w:val="24"/>
              </w:rPr>
            </w:pPr>
            <w:r>
              <w:rPr>
                <w:color w:val="auto"/>
                <w:sz w:val="24"/>
                <w:szCs w:val="24"/>
              </w:rPr>
              <w:t>2、项目产品方案</w:t>
            </w:r>
          </w:p>
          <w:p>
            <w:pPr>
              <w:pStyle w:val="72"/>
              <w:spacing w:after="0" w:afterLines="0" w:line="240" w:lineRule="auto"/>
              <w:ind w:firstLine="0" w:firstLineChars="0"/>
              <w:jc w:val="center"/>
              <w:rPr>
                <w:rFonts w:ascii="Times New Roman" w:hAnsi="Times New Roman"/>
                <w:b w:val="0"/>
                <w:color w:val="auto"/>
                <w:szCs w:val="21"/>
              </w:rPr>
            </w:pPr>
            <w:r>
              <w:rPr>
                <w:color w:val="auto"/>
                <w:sz w:val="21"/>
                <w:szCs w:val="21"/>
              </w:rPr>
              <w:t>表2-</w:t>
            </w:r>
            <w:r>
              <w:rPr>
                <w:rFonts w:hint="eastAsia"/>
                <w:color w:val="auto"/>
                <w:sz w:val="21"/>
                <w:szCs w:val="21"/>
                <w:lang w:val="en-US" w:eastAsia="zh-CN"/>
              </w:rPr>
              <w:t>1</w:t>
            </w:r>
            <w:r>
              <w:rPr>
                <w:color w:val="auto"/>
                <w:sz w:val="21"/>
                <w:szCs w:val="21"/>
              </w:rPr>
              <w:t xml:space="preserve"> 本项目</w:t>
            </w:r>
            <w:r>
              <w:rPr>
                <w:rFonts w:hint="eastAsia"/>
                <w:color w:val="auto"/>
                <w:sz w:val="21"/>
                <w:szCs w:val="21"/>
              </w:rPr>
              <w:t>产品方案</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952"/>
              <w:gridCol w:w="1435"/>
              <w:gridCol w:w="1440"/>
              <w:gridCol w:w="1185"/>
              <w:gridCol w:w="16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60" w:type="pct"/>
                  <w:vMerge w:val="restart"/>
                  <w:tcBorders>
                    <w:top w:val="single" w:color="auto" w:sz="12" w:space="0"/>
                    <w:left w:val="nil"/>
                    <w:bottom w:val="single" w:color="auto" w:sz="4" w:space="0"/>
                    <w:right w:val="single" w:color="auto" w:sz="4" w:space="0"/>
                  </w:tcBorders>
                  <w:shd w:val="clear" w:color="auto" w:fill="DCE6F2"/>
                  <w:noWrap w:val="0"/>
                  <w:vAlign w:val="center"/>
                </w:tcPr>
                <w:p>
                  <w:pPr>
                    <w:jc w:val="center"/>
                    <w:rPr>
                      <w:rFonts w:ascii="Times New Roman" w:hAnsi="Times New Roman"/>
                      <w:b/>
                      <w:bCs/>
                      <w:color w:val="auto"/>
                      <w:szCs w:val="21"/>
                    </w:rPr>
                  </w:pPr>
                  <w:r>
                    <w:rPr>
                      <w:rFonts w:ascii="宋体" w:hAnsi="宋体"/>
                      <w:b/>
                      <w:bCs/>
                      <w:color w:val="auto"/>
                      <w:szCs w:val="21"/>
                    </w:rPr>
                    <w:t>序号</w:t>
                  </w:r>
                </w:p>
              </w:tc>
              <w:tc>
                <w:tcPr>
                  <w:tcW w:w="1163" w:type="pct"/>
                  <w:vMerge w:val="restart"/>
                  <w:tcBorders>
                    <w:top w:val="single" w:color="auto" w:sz="12" w:space="0"/>
                    <w:left w:val="single" w:color="auto" w:sz="4" w:space="0"/>
                    <w:bottom w:val="single" w:color="auto" w:sz="4" w:space="0"/>
                    <w:right w:val="single" w:color="auto" w:sz="4" w:space="0"/>
                  </w:tcBorders>
                  <w:shd w:val="clear" w:color="auto" w:fill="DCE6F2"/>
                  <w:noWrap w:val="0"/>
                  <w:vAlign w:val="center"/>
                </w:tcPr>
                <w:p>
                  <w:pPr>
                    <w:jc w:val="center"/>
                    <w:rPr>
                      <w:rFonts w:ascii="Times New Roman" w:hAnsi="Times New Roman"/>
                      <w:b/>
                      <w:bCs/>
                      <w:color w:val="auto"/>
                      <w:szCs w:val="21"/>
                    </w:rPr>
                  </w:pPr>
                  <w:r>
                    <w:rPr>
                      <w:rFonts w:ascii="宋体" w:hAnsi="宋体"/>
                      <w:b/>
                      <w:bCs/>
                      <w:color w:val="auto"/>
                      <w:szCs w:val="21"/>
                    </w:rPr>
                    <w:t>产品名称</w:t>
                  </w:r>
                </w:p>
              </w:tc>
              <w:tc>
                <w:tcPr>
                  <w:tcW w:w="1713" w:type="pct"/>
                  <w:gridSpan w:val="2"/>
                  <w:tcBorders>
                    <w:top w:val="single" w:color="auto" w:sz="12" w:space="0"/>
                    <w:left w:val="single" w:color="auto" w:sz="4" w:space="0"/>
                    <w:bottom w:val="single" w:color="auto" w:sz="4" w:space="0"/>
                    <w:right w:val="single" w:color="auto" w:sz="4" w:space="0"/>
                  </w:tcBorders>
                  <w:shd w:val="clear" w:color="auto" w:fill="DCE6F2"/>
                  <w:noWrap w:val="0"/>
                  <w:vAlign w:val="center"/>
                </w:tcPr>
                <w:p>
                  <w:pPr>
                    <w:jc w:val="center"/>
                    <w:rPr>
                      <w:rFonts w:hint="eastAsia" w:ascii="Times New Roman" w:hAnsi="Times New Roman"/>
                      <w:b/>
                      <w:bCs/>
                      <w:color w:val="auto"/>
                      <w:szCs w:val="21"/>
                    </w:rPr>
                  </w:pPr>
                  <w:r>
                    <w:rPr>
                      <w:rFonts w:ascii="宋体" w:hAnsi="宋体"/>
                      <w:b/>
                      <w:bCs/>
                      <w:color w:val="auto"/>
                      <w:szCs w:val="21"/>
                    </w:rPr>
                    <w:t>数量（</w:t>
                  </w:r>
                  <w:r>
                    <w:rPr>
                      <w:rFonts w:hint="eastAsia" w:ascii="宋体" w:hAnsi="宋体"/>
                      <w:b/>
                      <w:bCs/>
                      <w:color w:val="auto"/>
                      <w:szCs w:val="21"/>
                    </w:rPr>
                    <w:t>万</w:t>
                  </w:r>
                  <w:r>
                    <w:rPr>
                      <w:rFonts w:ascii="宋体" w:hAnsi="宋体"/>
                      <w:b/>
                      <w:bCs/>
                      <w:color w:val="auto"/>
                      <w:szCs w:val="21"/>
                    </w:rPr>
                    <w:t>吨</w:t>
                  </w:r>
                  <w:r>
                    <w:rPr>
                      <w:rFonts w:ascii="Times New Roman" w:hAnsi="Times New Roman"/>
                      <w:b/>
                      <w:bCs/>
                      <w:color w:val="auto"/>
                      <w:szCs w:val="21"/>
                    </w:rPr>
                    <w:t>/</w:t>
                  </w:r>
                  <w:r>
                    <w:rPr>
                      <w:rFonts w:ascii="宋体" w:hAnsi="宋体"/>
                      <w:b/>
                      <w:bCs/>
                      <w:color w:val="auto"/>
                      <w:szCs w:val="21"/>
                    </w:rPr>
                    <w:t>年）</w:t>
                  </w:r>
                </w:p>
              </w:tc>
              <w:tc>
                <w:tcPr>
                  <w:tcW w:w="706" w:type="pct"/>
                  <w:vMerge w:val="restart"/>
                  <w:tcBorders>
                    <w:top w:val="single" w:color="auto" w:sz="12" w:space="0"/>
                    <w:left w:val="single" w:color="auto" w:sz="4" w:space="0"/>
                    <w:bottom w:val="single" w:color="auto" w:sz="4" w:space="0"/>
                    <w:right w:val="single" w:color="auto" w:sz="4" w:space="0"/>
                  </w:tcBorders>
                  <w:shd w:val="clear" w:color="auto" w:fill="DCE6F2"/>
                  <w:noWrap w:val="0"/>
                  <w:vAlign w:val="center"/>
                </w:tcPr>
                <w:p>
                  <w:pPr>
                    <w:jc w:val="center"/>
                    <w:rPr>
                      <w:rFonts w:ascii="Times New Roman" w:hAnsi="Times New Roman"/>
                      <w:b/>
                      <w:bCs/>
                      <w:color w:val="auto"/>
                      <w:szCs w:val="21"/>
                    </w:rPr>
                  </w:pPr>
                  <w:r>
                    <w:rPr>
                      <w:rFonts w:hint="eastAsia" w:ascii="宋体" w:hAnsi="宋体"/>
                      <w:b/>
                      <w:bCs/>
                      <w:color w:val="auto"/>
                      <w:szCs w:val="21"/>
                    </w:rPr>
                    <w:t>变化情况</w:t>
                  </w:r>
                  <w:r>
                    <w:rPr>
                      <w:rFonts w:ascii="宋体" w:hAnsi="宋体"/>
                      <w:b/>
                      <w:bCs/>
                      <w:color w:val="auto"/>
                      <w:szCs w:val="21"/>
                    </w:rPr>
                    <w:t>（</w:t>
                  </w:r>
                  <w:r>
                    <w:rPr>
                      <w:rFonts w:hint="eastAsia" w:ascii="宋体" w:hAnsi="宋体"/>
                      <w:b/>
                      <w:bCs/>
                      <w:color w:val="auto"/>
                      <w:szCs w:val="21"/>
                    </w:rPr>
                    <w:t>万</w:t>
                  </w:r>
                  <w:r>
                    <w:rPr>
                      <w:rFonts w:ascii="宋体" w:hAnsi="宋体"/>
                      <w:b/>
                      <w:bCs/>
                      <w:color w:val="auto"/>
                      <w:szCs w:val="21"/>
                    </w:rPr>
                    <w:t>吨</w:t>
                  </w:r>
                  <w:r>
                    <w:rPr>
                      <w:rFonts w:ascii="Times New Roman" w:hAnsi="Times New Roman"/>
                      <w:b/>
                      <w:bCs/>
                      <w:color w:val="auto"/>
                      <w:szCs w:val="21"/>
                    </w:rPr>
                    <w:t>/</w:t>
                  </w:r>
                  <w:r>
                    <w:rPr>
                      <w:rFonts w:ascii="宋体" w:hAnsi="宋体"/>
                      <w:b/>
                      <w:bCs/>
                      <w:color w:val="auto"/>
                      <w:szCs w:val="21"/>
                    </w:rPr>
                    <w:t>年）</w:t>
                  </w:r>
                </w:p>
              </w:tc>
              <w:tc>
                <w:tcPr>
                  <w:tcW w:w="956" w:type="pct"/>
                  <w:vMerge w:val="restart"/>
                  <w:tcBorders>
                    <w:top w:val="single" w:color="auto" w:sz="12" w:space="0"/>
                    <w:left w:val="single" w:color="auto" w:sz="4" w:space="0"/>
                    <w:bottom w:val="single" w:color="auto" w:sz="4" w:space="0"/>
                    <w:right w:val="nil"/>
                  </w:tcBorders>
                  <w:shd w:val="clear" w:color="auto" w:fill="DCE6F2"/>
                  <w:noWrap w:val="0"/>
                  <w:vAlign w:val="center"/>
                </w:tcPr>
                <w:p>
                  <w:pPr>
                    <w:jc w:val="center"/>
                    <w:rPr>
                      <w:rFonts w:hint="eastAsia" w:ascii="宋体" w:hAnsi="宋体"/>
                      <w:b/>
                      <w:bCs/>
                      <w:color w:val="auto"/>
                      <w:szCs w:val="21"/>
                    </w:rPr>
                  </w:pPr>
                  <w:r>
                    <w:rPr>
                      <w:rFonts w:hint="eastAsia" w:ascii="宋体" w:hAnsi="宋体"/>
                      <w:b/>
                      <w:bCs/>
                      <w:color w:val="auto"/>
                      <w:szCs w:val="21"/>
                    </w:rPr>
                    <w:t>技改后全厂</w:t>
                  </w:r>
                  <w:r>
                    <w:rPr>
                      <w:rFonts w:ascii="宋体" w:hAnsi="宋体"/>
                      <w:b/>
                      <w:bCs/>
                      <w:color w:val="auto"/>
                      <w:szCs w:val="21"/>
                    </w:rPr>
                    <w:t>（</w:t>
                  </w:r>
                  <w:r>
                    <w:rPr>
                      <w:rFonts w:hint="eastAsia" w:ascii="宋体" w:hAnsi="宋体"/>
                      <w:b/>
                      <w:bCs/>
                      <w:color w:val="auto"/>
                      <w:szCs w:val="21"/>
                    </w:rPr>
                    <w:t>万</w:t>
                  </w:r>
                  <w:r>
                    <w:rPr>
                      <w:rFonts w:ascii="宋体" w:hAnsi="宋体"/>
                      <w:b/>
                      <w:bCs/>
                      <w:color w:val="auto"/>
                      <w:szCs w:val="21"/>
                    </w:rPr>
                    <w:t>吨</w:t>
                  </w:r>
                  <w:r>
                    <w:rPr>
                      <w:rFonts w:ascii="Times New Roman" w:hAnsi="Times New Roman"/>
                      <w:b/>
                      <w:bCs/>
                      <w:color w:val="auto"/>
                      <w:szCs w:val="21"/>
                    </w:rPr>
                    <w:t>/</w:t>
                  </w:r>
                  <w:r>
                    <w:rPr>
                      <w:rFonts w:ascii="宋体" w:hAnsi="宋体"/>
                      <w:b/>
                      <w:bCs/>
                      <w:color w:val="auto"/>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60" w:type="pct"/>
                  <w:vMerge w:val="continue"/>
                  <w:tcBorders>
                    <w:top w:val="single" w:color="auto" w:sz="12" w:space="0"/>
                    <w:left w:val="nil"/>
                    <w:bottom w:val="single" w:color="auto" w:sz="4" w:space="0"/>
                    <w:right w:val="single" w:color="auto" w:sz="4" w:space="0"/>
                  </w:tcBorders>
                  <w:shd w:val="clear" w:color="auto" w:fill="auto"/>
                  <w:noWrap w:val="0"/>
                  <w:vAlign w:val="center"/>
                </w:tcPr>
                <w:p>
                  <w:pPr>
                    <w:widowControl/>
                    <w:jc w:val="left"/>
                    <w:rPr>
                      <w:rFonts w:ascii="Times New Roman" w:hAnsi="Times New Roman"/>
                      <w:b/>
                      <w:bCs/>
                      <w:color w:val="auto"/>
                      <w:szCs w:val="21"/>
                    </w:rPr>
                  </w:pPr>
                </w:p>
              </w:tc>
              <w:tc>
                <w:tcPr>
                  <w:tcW w:w="1163" w:type="pct"/>
                  <w:vMerge w:val="continue"/>
                  <w:tcBorders>
                    <w:top w:val="single" w:color="auto" w:sz="12" w:space="0"/>
                    <w:left w:val="single" w:color="auto" w:sz="4" w:space="0"/>
                    <w:bottom w:val="single" w:color="auto" w:sz="4" w:space="0"/>
                    <w:right w:val="single" w:color="auto" w:sz="4" w:space="0"/>
                  </w:tcBorders>
                  <w:shd w:val="clear" w:color="auto" w:fill="auto"/>
                  <w:noWrap w:val="0"/>
                  <w:vAlign w:val="center"/>
                </w:tcPr>
                <w:p>
                  <w:pPr>
                    <w:widowControl/>
                    <w:jc w:val="left"/>
                    <w:rPr>
                      <w:rFonts w:ascii="Times New Roman" w:hAnsi="Times New Roman"/>
                      <w:b/>
                      <w:bCs/>
                      <w:color w:val="auto"/>
                      <w:szCs w:val="21"/>
                    </w:rPr>
                  </w:pPr>
                </w:p>
              </w:tc>
              <w:tc>
                <w:tcPr>
                  <w:tcW w:w="855" w:type="pct"/>
                  <w:tcBorders>
                    <w:top w:val="single" w:color="auto" w:sz="4" w:space="0"/>
                    <w:left w:val="single" w:color="auto" w:sz="4" w:space="0"/>
                    <w:bottom w:val="single" w:color="auto" w:sz="4" w:space="0"/>
                    <w:right w:val="single" w:color="auto" w:sz="4" w:space="0"/>
                  </w:tcBorders>
                  <w:shd w:val="clear" w:color="auto" w:fill="DCE6F2"/>
                  <w:noWrap w:val="0"/>
                  <w:vAlign w:val="center"/>
                </w:tcPr>
                <w:p>
                  <w:pPr>
                    <w:jc w:val="center"/>
                    <w:rPr>
                      <w:rFonts w:hint="eastAsia" w:ascii="Times New Roman" w:hAnsi="Times New Roman"/>
                      <w:b/>
                      <w:bCs/>
                      <w:color w:val="auto"/>
                      <w:szCs w:val="21"/>
                    </w:rPr>
                  </w:pPr>
                  <w:r>
                    <w:rPr>
                      <w:rFonts w:hint="eastAsia" w:ascii="宋体" w:hAnsi="宋体"/>
                      <w:b/>
                      <w:bCs/>
                      <w:color w:val="auto"/>
                      <w:szCs w:val="21"/>
                    </w:rPr>
                    <w:t>技改前</w:t>
                  </w:r>
                </w:p>
              </w:tc>
              <w:tc>
                <w:tcPr>
                  <w:tcW w:w="858" w:type="pct"/>
                  <w:tcBorders>
                    <w:top w:val="single" w:color="auto" w:sz="4" w:space="0"/>
                    <w:left w:val="single" w:color="auto" w:sz="4" w:space="0"/>
                    <w:bottom w:val="single" w:color="auto" w:sz="4" w:space="0"/>
                    <w:right w:val="single" w:color="auto" w:sz="4" w:space="0"/>
                  </w:tcBorders>
                  <w:shd w:val="clear" w:color="auto" w:fill="DCE6F2"/>
                  <w:noWrap w:val="0"/>
                  <w:vAlign w:val="center"/>
                </w:tcPr>
                <w:p>
                  <w:pPr>
                    <w:jc w:val="center"/>
                    <w:rPr>
                      <w:rFonts w:hint="eastAsia" w:ascii="Times New Roman" w:hAnsi="Times New Roman"/>
                      <w:b/>
                      <w:bCs/>
                      <w:color w:val="auto"/>
                      <w:szCs w:val="21"/>
                    </w:rPr>
                  </w:pPr>
                  <w:r>
                    <w:rPr>
                      <w:rFonts w:hint="eastAsia" w:ascii="宋体" w:hAnsi="宋体"/>
                      <w:b/>
                      <w:bCs/>
                      <w:color w:val="auto"/>
                      <w:szCs w:val="21"/>
                    </w:rPr>
                    <w:t>技改后</w:t>
                  </w:r>
                </w:p>
              </w:tc>
              <w:tc>
                <w:tcPr>
                  <w:tcW w:w="706" w:type="pct"/>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auto"/>
                      <w:szCs w:val="21"/>
                    </w:rPr>
                  </w:pPr>
                </w:p>
              </w:tc>
              <w:tc>
                <w:tcPr>
                  <w:tcW w:w="956" w:type="pct"/>
                  <w:vMerge w:val="continue"/>
                  <w:tcBorders>
                    <w:top w:val="single" w:color="auto" w:sz="12" w:space="0"/>
                    <w:left w:val="single" w:color="auto" w:sz="4" w:space="0"/>
                    <w:bottom w:val="single" w:color="auto" w:sz="4" w:space="0"/>
                    <w:right w:val="nil"/>
                  </w:tcBorders>
                  <w:noWrap w:val="0"/>
                  <w:vAlign w:val="center"/>
                </w:tcPr>
                <w:p>
                  <w:pPr>
                    <w:widowControl/>
                    <w:jc w:val="left"/>
                    <w:rPr>
                      <w:rFonts w:ascii="宋体" w:hAnsi="宋体"/>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0" w:type="pc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olor w:val="auto"/>
                      <w:szCs w:val="21"/>
                    </w:rPr>
                  </w:pPr>
                  <w:r>
                    <w:rPr>
                      <w:rFonts w:ascii="Times New Roman" w:hAnsi="Times New Roman"/>
                      <w:color w:val="auto"/>
                      <w:szCs w:val="21"/>
                    </w:rPr>
                    <w:t>1</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塑料颗粒（</w:t>
                  </w:r>
                  <w:r>
                    <w:rPr>
                      <w:rFonts w:ascii="Times New Roman" w:hAnsi="Times New Roman"/>
                      <w:color w:val="auto"/>
                      <w:szCs w:val="21"/>
                    </w:rPr>
                    <w:t>PP</w:t>
                  </w:r>
                  <w:r>
                    <w:rPr>
                      <w:rFonts w:ascii="宋体" w:hAnsi="宋体"/>
                      <w:color w:val="auto"/>
                      <w:szCs w:val="21"/>
                    </w:rPr>
                    <w:t>）</w:t>
                  </w:r>
                </w:p>
              </w:tc>
              <w:tc>
                <w:tcPr>
                  <w:tcW w:w="855"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color w:val="auto"/>
                      <w:szCs w:val="21"/>
                    </w:rPr>
                    <w:t>1.5</w:t>
                  </w:r>
                </w:p>
              </w:tc>
              <w:tc>
                <w:tcPr>
                  <w:tcW w:w="858"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Times New Roman" w:hAnsi="Times New Roman"/>
                      <w:color w:val="auto"/>
                      <w:szCs w:val="21"/>
                    </w:rPr>
                    <w:t>1.0</w:t>
                  </w:r>
                </w:p>
              </w:tc>
              <w:tc>
                <w:tcPr>
                  <w:tcW w:w="706"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w:t>
                  </w:r>
                  <w:r>
                    <w:rPr>
                      <w:rFonts w:hint="eastAsia" w:ascii="Times New Roman" w:hAnsi="Times New Roman"/>
                      <w:color w:val="auto"/>
                      <w:szCs w:val="21"/>
                    </w:rPr>
                    <w:t>0.</w:t>
                  </w:r>
                  <w:r>
                    <w:rPr>
                      <w:rFonts w:ascii="Times New Roman" w:hAnsi="Times New Roman"/>
                      <w:color w:val="auto"/>
                      <w:szCs w:val="21"/>
                    </w:rPr>
                    <w:t>5</w:t>
                  </w:r>
                </w:p>
              </w:tc>
              <w:tc>
                <w:tcPr>
                  <w:tcW w:w="956" w:type="pct"/>
                  <w:tcBorders>
                    <w:top w:val="single" w:color="auto" w:sz="4" w:space="0"/>
                    <w:left w:val="single" w:color="auto" w:sz="4" w:space="0"/>
                    <w:bottom w:val="single" w:color="auto" w:sz="4" w:space="0"/>
                    <w:right w:val="nil"/>
                  </w:tcBorders>
                  <w:noWrap w:val="0"/>
                  <w:vAlign w:val="center"/>
                </w:tcPr>
                <w:p>
                  <w:pPr>
                    <w:jc w:val="center"/>
                    <w:rPr>
                      <w:rFonts w:ascii="Times New Roman" w:hAnsi="Times New Roman"/>
                      <w:color w:val="auto"/>
                      <w:szCs w:val="21"/>
                    </w:rPr>
                  </w:pPr>
                  <w:r>
                    <w:rPr>
                      <w:rFonts w:hint="eastAsia" w:ascii="宋体" w:hAnsi="宋体"/>
                      <w:color w:val="auto"/>
                      <w:szCs w:val="21"/>
                      <w:lang w:val="en-US" w:eastAsia="zh-CN"/>
                    </w:rPr>
                    <w:t>1.0</w:t>
                  </w:r>
                  <w:r>
                    <w:rPr>
                      <w:rFonts w:hint="eastAsia" w:ascii="宋体" w:hAnsi="宋体"/>
                      <w:color w:val="auto"/>
                      <w:szCs w:val="21"/>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60" w:type="pc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olor w:val="auto"/>
                      <w:szCs w:val="21"/>
                    </w:rPr>
                  </w:pPr>
                  <w:r>
                    <w:rPr>
                      <w:rFonts w:ascii="Times New Roman" w:hAnsi="Times New Roman"/>
                      <w:color w:val="auto"/>
                      <w:szCs w:val="21"/>
                    </w:rPr>
                    <w:t>2</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rFonts w:ascii="宋体" w:hAnsi="宋体"/>
                      <w:color w:val="auto"/>
                      <w:szCs w:val="21"/>
                    </w:rPr>
                    <w:t>塑料丝（</w:t>
                  </w:r>
                  <w:r>
                    <w:rPr>
                      <w:rFonts w:ascii="Times New Roman" w:hAnsi="Times New Roman"/>
                      <w:color w:val="auto"/>
                      <w:szCs w:val="21"/>
                    </w:rPr>
                    <w:t>PP</w:t>
                  </w:r>
                  <w:r>
                    <w:rPr>
                      <w:rFonts w:ascii="宋体" w:hAnsi="宋体"/>
                      <w:color w:val="auto"/>
                      <w:szCs w:val="21"/>
                    </w:rPr>
                    <w:t>）</w:t>
                  </w:r>
                </w:p>
              </w:tc>
              <w:tc>
                <w:tcPr>
                  <w:tcW w:w="855"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rPr>
                  </w:pPr>
                  <w:r>
                    <w:rPr>
                      <w:color w:val="auto"/>
                      <w:szCs w:val="21"/>
                    </w:rPr>
                    <w:t>0.65</w:t>
                  </w:r>
                </w:p>
              </w:tc>
              <w:tc>
                <w:tcPr>
                  <w:tcW w:w="85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0</w:t>
                  </w:r>
                  <w:r>
                    <w:rPr>
                      <w:rFonts w:hint="eastAsia"/>
                      <w:color w:val="auto"/>
                      <w:szCs w:val="21"/>
                    </w:rPr>
                    <w:t>（</w:t>
                  </w:r>
                  <w:r>
                    <w:rPr>
                      <w:rFonts w:hint="eastAsia"/>
                      <w:color w:val="auto"/>
                      <w:szCs w:val="21"/>
                      <w:lang w:val="en-US" w:eastAsia="zh-CN"/>
                    </w:rPr>
                    <w:t>0.65中间产品，自用</w:t>
                  </w:r>
                  <w:r>
                    <w:rPr>
                      <w:rFonts w:hint="eastAsia"/>
                      <w:color w:val="auto"/>
                      <w:szCs w:val="21"/>
                    </w:rPr>
                    <w:t>）</w:t>
                  </w:r>
                </w:p>
              </w:tc>
              <w:tc>
                <w:tcPr>
                  <w:tcW w:w="70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olor w:val="auto"/>
                      <w:szCs w:val="21"/>
                      <w:lang w:val="en-US" w:eastAsia="zh-CN"/>
                    </w:rPr>
                  </w:pPr>
                  <w:r>
                    <w:rPr>
                      <w:rFonts w:hint="eastAsia"/>
                      <w:color w:val="auto"/>
                      <w:szCs w:val="21"/>
                      <w:lang w:val="en-US" w:eastAsia="zh-CN"/>
                    </w:rPr>
                    <w:t>-0.65</w:t>
                  </w:r>
                </w:p>
              </w:tc>
              <w:tc>
                <w:tcPr>
                  <w:tcW w:w="956" w:type="pct"/>
                  <w:tcBorders>
                    <w:top w:val="single" w:color="auto" w:sz="4" w:space="0"/>
                    <w:left w:val="single" w:color="auto" w:sz="4" w:space="0"/>
                    <w:bottom w:val="single" w:color="auto" w:sz="4" w:space="0"/>
                    <w:right w:val="nil"/>
                  </w:tcBorders>
                  <w:noWrap w:val="0"/>
                  <w:vAlign w:val="center"/>
                </w:tcPr>
                <w:p>
                  <w:pPr>
                    <w:jc w:val="both"/>
                    <w:rPr>
                      <w:rFonts w:ascii="Times New Roman" w:hAnsi="Times New Roman"/>
                      <w:color w:val="auto"/>
                      <w:szCs w:val="21"/>
                    </w:rPr>
                  </w:pPr>
                  <w:r>
                    <w:rPr>
                      <w:rFonts w:hint="eastAsia" w:ascii="Times New Roman" w:hAnsi="Times New Roman"/>
                      <w:color w:val="auto"/>
                      <w:szCs w:val="21"/>
                      <w:lang w:val="en-US" w:eastAsia="zh-CN"/>
                    </w:rPr>
                    <w:t>0</w:t>
                  </w:r>
                  <w:r>
                    <w:rPr>
                      <w:rFonts w:hint="eastAsia" w:ascii="宋体" w:hAnsi="宋体"/>
                      <w:color w:val="auto"/>
                      <w:szCs w:val="21"/>
                    </w:rPr>
                    <w:t>（</w:t>
                  </w:r>
                  <w:r>
                    <w:rPr>
                      <w:rFonts w:hint="eastAsia" w:ascii="宋体" w:hAnsi="宋体"/>
                      <w:color w:val="auto"/>
                      <w:szCs w:val="21"/>
                      <w:lang w:val="en-US" w:eastAsia="zh-CN"/>
                    </w:rPr>
                    <w:t>减少的0.65为中间产品，自用于生产塑料编织布</w:t>
                  </w:r>
                  <w:r>
                    <w:rPr>
                      <w:rFonts w:hint="eastAsia"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tcBorders>
                    <w:top w:val="single" w:color="auto" w:sz="4" w:space="0"/>
                    <w:left w:val="nil"/>
                    <w:bottom w:val="single" w:color="auto" w:sz="12" w:space="0"/>
                    <w:right w:val="single" w:color="auto" w:sz="4" w:space="0"/>
                  </w:tcBorders>
                  <w:noWrap w:val="0"/>
                  <w:vAlign w:val="center"/>
                </w:tcPr>
                <w:p>
                  <w:pPr>
                    <w:jc w:val="center"/>
                    <w:rPr>
                      <w:rFonts w:ascii="Times New Roman" w:hAnsi="Times New Roman"/>
                      <w:color w:val="auto"/>
                      <w:szCs w:val="21"/>
                    </w:rPr>
                  </w:pPr>
                  <w:r>
                    <w:rPr>
                      <w:rFonts w:hint="eastAsia" w:ascii="Times New Roman" w:hAnsi="Times New Roman"/>
                      <w:color w:val="auto"/>
                      <w:szCs w:val="21"/>
                    </w:rPr>
                    <w:t>3</w:t>
                  </w:r>
                </w:p>
              </w:tc>
              <w:tc>
                <w:tcPr>
                  <w:tcW w:w="1163" w:type="pct"/>
                  <w:tcBorders>
                    <w:top w:val="single" w:color="auto" w:sz="4" w:space="0"/>
                    <w:left w:val="single" w:color="auto" w:sz="4" w:space="0"/>
                    <w:bottom w:val="single" w:color="auto" w:sz="12" w:space="0"/>
                    <w:right w:val="single" w:color="auto" w:sz="4" w:space="0"/>
                  </w:tcBorders>
                  <w:noWrap w:val="0"/>
                  <w:vAlign w:val="center"/>
                </w:tcPr>
                <w:p>
                  <w:pPr>
                    <w:jc w:val="center"/>
                    <w:rPr>
                      <w:rFonts w:hint="eastAsia" w:ascii="宋体" w:hAnsi="宋体" w:eastAsia="宋体"/>
                      <w:color w:val="auto"/>
                      <w:szCs w:val="21"/>
                      <w:lang w:eastAsia="zh-CN"/>
                    </w:rPr>
                  </w:pPr>
                  <w:r>
                    <w:rPr>
                      <w:rFonts w:hint="eastAsia" w:ascii="宋体" w:hAnsi="宋体"/>
                      <w:color w:val="auto"/>
                      <w:szCs w:val="21"/>
                    </w:rPr>
                    <w:t>塑料编织</w:t>
                  </w:r>
                  <w:r>
                    <w:rPr>
                      <w:rFonts w:hint="eastAsia" w:ascii="宋体" w:hAnsi="宋体"/>
                      <w:color w:val="auto"/>
                      <w:szCs w:val="21"/>
                      <w:lang w:val="en-US" w:eastAsia="zh-CN"/>
                    </w:rPr>
                    <w:t>布</w:t>
                  </w:r>
                </w:p>
              </w:tc>
              <w:tc>
                <w:tcPr>
                  <w:tcW w:w="855" w:type="pct"/>
                  <w:tcBorders>
                    <w:top w:val="single" w:color="auto" w:sz="4" w:space="0"/>
                    <w:left w:val="single" w:color="auto" w:sz="4" w:space="0"/>
                    <w:bottom w:val="single" w:color="auto" w:sz="12" w:space="0"/>
                    <w:right w:val="single" w:color="auto" w:sz="4" w:space="0"/>
                  </w:tcBorders>
                  <w:noWrap w:val="0"/>
                  <w:vAlign w:val="center"/>
                </w:tcPr>
                <w:p>
                  <w:pPr>
                    <w:jc w:val="center"/>
                    <w:rPr>
                      <w:rFonts w:hint="eastAsia"/>
                      <w:color w:val="auto"/>
                      <w:szCs w:val="21"/>
                    </w:rPr>
                  </w:pPr>
                  <w:r>
                    <w:rPr>
                      <w:rFonts w:hint="eastAsia"/>
                      <w:color w:val="auto"/>
                      <w:szCs w:val="21"/>
                    </w:rPr>
                    <w:t>0</w:t>
                  </w:r>
                </w:p>
              </w:tc>
              <w:tc>
                <w:tcPr>
                  <w:tcW w:w="858" w:type="pct"/>
                  <w:tcBorders>
                    <w:top w:val="single" w:color="auto" w:sz="4" w:space="0"/>
                    <w:left w:val="single" w:color="auto" w:sz="4" w:space="0"/>
                    <w:bottom w:val="single" w:color="auto" w:sz="12" w:space="0"/>
                    <w:right w:val="single" w:color="auto" w:sz="4" w:space="0"/>
                  </w:tcBorders>
                  <w:noWrap w:val="0"/>
                  <w:vAlign w:val="center"/>
                </w:tcPr>
                <w:p>
                  <w:pPr>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w:t>
                  </w:r>
                  <w:r>
                    <w:rPr>
                      <w:rFonts w:hint="eastAsia" w:ascii="Times New Roman" w:hAnsi="Times New Roman"/>
                      <w:color w:val="auto"/>
                      <w:szCs w:val="21"/>
                      <w:lang w:val="en-US" w:eastAsia="zh-CN"/>
                    </w:rPr>
                    <w:t>65</w:t>
                  </w:r>
                  <w:r>
                    <w:rPr>
                      <w:rFonts w:hint="eastAsia" w:ascii="Times New Roman" w:hAnsi="Times New Roman"/>
                      <w:color w:val="auto"/>
                      <w:szCs w:val="21"/>
                    </w:rPr>
                    <w:t>（由1条</w:t>
                  </w:r>
                  <w:r>
                    <w:rPr>
                      <w:rFonts w:ascii="宋体" w:hAnsi="宋体"/>
                      <w:color w:val="auto"/>
                      <w:szCs w:val="21"/>
                    </w:rPr>
                    <w:t>塑料</w:t>
                  </w:r>
                  <w:r>
                    <w:rPr>
                      <w:rFonts w:hint="eastAsia" w:ascii="宋体" w:hAnsi="宋体"/>
                      <w:color w:val="auto"/>
                      <w:szCs w:val="21"/>
                      <w:lang w:val="en-US" w:eastAsia="zh-CN"/>
                    </w:rPr>
                    <w:t>丝</w:t>
                  </w:r>
                  <w:r>
                    <w:rPr>
                      <w:rFonts w:hint="eastAsia" w:ascii="宋体" w:hAnsi="宋体"/>
                      <w:color w:val="auto"/>
                      <w:szCs w:val="21"/>
                    </w:rPr>
                    <w:t>生产线改造</w:t>
                  </w:r>
                  <w:r>
                    <w:rPr>
                      <w:rFonts w:hint="eastAsia" w:ascii="Times New Roman" w:hAnsi="Times New Roman"/>
                      <w:color w:val="auto"/>
                      <w:szCs w:val="21"/>
                    </w:rPr>
                    <w:t>）</w:t>
                  </w:r>
                </w:p>
              </w:tc>
              <w:tc>
                <w:tcPr>
                  <w:tcW w:w="706"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eastAsia="宋体"/>
                      <w:color w:val="auto"/>
                      <w:szCs w:val="21"/>
                      <w:lang w:val="en-US" w:eastAsia="zh-CN"/>
                    </w:rPr>
                  </w:pPr>
                  <w:r>
                    <w:rPr>
                      <w:rFonts w:hint="eastAsia"/>
                      <w:color w:val="auto"/>
                      <w:szCs w:val="21"/>
                    </w:rPr>
                    <w:t>+</w:t>
                  </w:r>
                  <w:r>
                    <w:rPr>
                      <w:color w:val="auto"/>
                      <w:szCs w:val="21"/>
                    </w:rPr>
                    <w:t>0.</w:t>
                  </w:r>
                  <w:r>
                    <w:rPr>
                      <w:rFonts w:hint="eastAsia"/>
                      <w:color w:val="auto"/>
                      <w:szCs w:val="21"/>
                      <w:lang w:val="en-US" w:eastAsia="zh-CN"/>
                    </w:rPr>
                    <w:t>65</w:t>
                  </w:r>
                </w:p>
              </w:tc>
              <w:tc>
                <w:tcPr>
                  <w:tcW w:w="956" w:type="pct"/>
                  <w:tcBorders>
                    <w:top w:val="single" w:color="auto" w:sz="4" w:space="0"/>
                    <w:left w:val="single" w:color="auto" w:sz="4" w:space="0"/>
                    <w:bottom w:val="single" w:color="auto" w:sz="12" w:space="0"/>
                    <w:right w:val="nil"/>
                  </w:tcBorders>
                  <w:noWrap w:val="0"/>
                  <w:vAlign w:val="center"/>
                </w:tcPr>
                <w:p>
                  <w:pPr>
                    <w:jc w:val="center"/>
                    <w:rPr>
                      <w:rFonts w:hint="default" w:ascii="Times New Roman" w:hAnsi="Times New Roman" w:eastAsia="宋体"/>
                      <w:color w:val="auto"/>
                      <w:szCs w:val="21"/>
                      <w:lang w:val="en-US" w:eastAsia="zh-CN"/>
                    </w:rPr>
                  </w:pPr>
                  <w:r>
                    <w:rPr>
                      <w:rFonts w:hint="eastAsia" w:ascii="Times New Roman" w:hAnsi="Times New Roman"/>
                      <w:color w:val="auto"/>
                      <w:szCs w:val="21"/>
                    </w:rPr>
                    <w:t>0</w:t>
                  </w:r>
                  <w:r>
                    <w:rPr>
                      <w:rFonts w:ascii="Times New Roman" w:hAnsi="Times New Roman"/>
                      <w:color w:val="auto"/>
                      <w:szCs w:val="21"/>
                    </w:rPr>
                    <w:t>.</w:t>
                  </w:r>
                  <w:r>
                    <w:rPr>
                      <w:rFonts w:hint="eastAsia" w:ascii="Times New Roman" w:hAnsi="Times New Roman"/>
                      <w:color w:val="auto"/>
                      <w:szCs w:val="21"/>
                      <w:lang w:val="en-US" w:eastAsia="zh-CN"/>
                    </w:rPr>
                    <w:t>65（外售）</w:t>
                  </w:r>
                </w:p>
              </w:tc>
            </w:tr>
          </w:tbl>
          <w:p>
            <w:pPr>
              <w:pStyle w:val="72"/>
              <w:spacing w:after="0" w:afterLines="0" w:line="240" w:lineRule="auto"/>
              <w:ind w:firstLine="0" w:firstLineChars="0"/>
              <w:jc w:val="center"/>
              <w:rPr>
                <w:rFonts w:hint="eastAsia"/>
                <w:color w:val="auto"/>
                <w:szCs w:val="21"/>
              </w:rPr>
            </w:pPr>
          </w:p>
          <w:p>
            <w:pPr>
              <w:pStyle w:val="72"/>
              <w:spacing w:after="0" w:afterLines="0" w:line="240" w:lineRule="auto"/>
              <w:ind w:firstLine="0" w:firstLineChars="0"/>
              <w:jc w:val="center"/>
              <w:rPr>
                <w:rFonts w:hint="eastAsia"/>
                <w:color w:val="auto"/>
                <w:szCs w:val="21"/>
              </w:rPr>
            </w:pPr>
          </w:p>
          <w:p>
            <w:pPr>
              <w:pStyle w:val="72"/>
              <w:spacing w:after="0" w:afterLines="0" w:line="240" w:lineRule="auto"/>
              <w:ind w:firstLine="0" w:firstLineChars="0"/>
              <w:jc w:val="center"/>
              <w:rPr>
                <w:rFonts w:hint="eastAsia"/>
                <w:color w:val="auto"/>
                <w:szCs w:val="21"/>
              </w:rPr>
            </w:pPr>
          </w:p>
          <w:p>
            <w:pPr>
              <w:pStyle w:val="72"/>
              <w:spacing w:after="0" w:afterLines="0" w:line="240" w:lineRule="auto"/>
              <w:ind w:firstLine="0" w:firstLineChars="0"/>
              <w:jc w:val="center"/>
              <w:rPr>
                <w:rFonts w:hint="eastAsia"/>
                <w:color w:val="auto"/>
                <w:szCs w:val="21"/>
              </w:rPr>
            </w:pPr>
          </w:p>
          <w:p>
            <w:pPr>
              <w:pStyle w:val="72"/>
              <w:spacing w:after="0" w:afterLines="0" w:line="240" w:lineRule="auto"/>
              <w:ind w:firstLine="0" w:firstLineChars="0"/>
              <w:jc w:val="center"/>
              <w:rPr>
                <w:rFonts w:hint="eastAsia"/>
                <w:color w:val="auto"/>
                <w:szCs w:val="21"/>
              </w:rPr>
            </w:pPr>
          </w:p>
          <w:p>
            <w:pPr>
              <w:pStyle w:val="72"/>
              <w:spacing w:after="0" w:afterLines="0" w:line="240" w:lineRule="auto"/>
              <w:ind w:firstLine="0" w:firstLineChars="0"/>
              <w:jc w:val="center"/>
              <w:rPr>
                <w:rFonts w:hint="eastAsia"/>
                <w:color w:val="auto"/>
                <w:szCs w:val="21"/>
              </w:rPr>
            </w:pPr>
          </w:p>
          <w:p>
            <w:pPr>
              <w:pStyle w:val="72"/>
              <w:spacing w:after="0" w:afterLines="0" w:line="240" w:lineRule="auto"/>
              <w:ind w:firstLine="0" w:firstLineChars="0"/>
              <w:jc w:val="center"/>
              <w:rPr>
                <w:rFonts w:hint="eastAsia"/>
                <w:color w:val="auto"/>
                <w:szCs w:val="21"/>
              </w:rPr>
            </w:pPr>
          </w:p>
          <w:p>
            <w:pPr>
              <w:pStyle w:val="72"/>
              <w:spacing w:after="0" w:afterLines="0" w:line="240" w:lineRule="auto"/>
              <w:ind w:firstLine="0" w:firstLineChars="0"/>
              <w:jc w:val="center"/>
              <w:rPr>
                <w:rFonts w:hint="eastAsia"/>
                <w:color w:val="auto"/>
                <w:szCs w:val="21"/>
              </w:rPr>
            </w:pPr>
          </w:p>
          <w:p>
            <w:pPr>
              <w:pStyle w:val="72"/>
              <w:spacing w:after="0" w:afterLines="0" w:line="240" w:lineRule="auto"/>
              <w:ind w:firstLine="0" w:firstLineChars="0"/>
              <w:jc w:val="center"/>
              <w:rPr>
                <w:rFonts w:hint="eastAsia"/>
                <w:color w:val="auto"/>
                <w:szCs w:val="21"/>
              </w:rPr>
            </w:pPr>
          </w:p>
          <w:p>
            <w:pPr>
              <w:pStyle w:val="72"/>
              <w:spacing w:after="0" w:afterLines="0" w:line="240" w:lineRule="auto"/>
              <w:ind w:firstLine="0" w:firstLineChars="0"/>
              <w:jc w:val="center"/>
              <w:rPr>
                <w:rFonts w:hint="eastAsia"/>
                <w:color w:val="auto"/>
                <w:szCs w:val="21"/>
              </w:r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6"/>
              <w:gridCol w:w="4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pct"/>
                  <w:tcBorders>
                    <w:bottom w:val="single" w:color="auto" w:sz="12" w:space="0"/>
                  </w:tcBorders>
                  <w:noWrap w:val="0"/>
                  <w:vAlign w:val="top"/>
                </w:tcPr>
                <w:p>
                  <w:pPr>
                    <w:jc w:val="center"/>
                    <w:rPr>
                      <w:rFonts w:hint="eastAsia" w:eastAsia="宋体"/>
                      <w:b/>
                      <w:bCs/>
                      <w:color w:val="auto"/>
                      <w:szCs w:val="21"/>
                      <w:lang w:eastAsia="zh-CN"/>
                    </w:rPr>
                  </w:pPr>
                  <w:r>
                    <w:rPr>
                      <w:color w:val="auto"/>
                    </w:rPr>
                    <w:drawing>
                      <wp:inline distT="0" distB="0" distL="114300" distR="114300">
                        <wp:extent cx="2033905" cy="2308225"/>
                        <wp:effectExtent l="0" t="0" r="4445" b="15875"/>
                        <wp:docPr id="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6"/>
                                <pic:cNvPicPr>
                                  <a:picLocks noChangeAspect="1"/>
                                </pic:cNvPicPr>
                              </pic:nvPicPr>
                              <pic:blipFill>
                                <a:blip r:embed="rId14"/>
                                <a:srcRect t="20370"/>
                                <a:stretch>
                                  <a:fillRect/>
                                </a:stretch>
                              </pic:blipFill>
                              <pic:spPr>
                                <a:xfrm>
                                  <a:off x="0" y="0"/>
                                  <a:ext cx="2033905" cy="2308225"/>
                                </a:xfrm>
                                <a:prstGeom prst="rect">
                                  <a:avLst/>
                                </a:prstGeom>
                                <a:noFill/>
                                <a:ln>
                                  <a:noFill/>
                                </a:ln>
                              </pic:spPr>
                            </pic:pic>
                          </a:graphicData>
                        </a:graphic>
                      </wp:inline>
                    </w:drawing>
                  </w:r>
                </w:p>
              </w:tc>
              <w:tc>
                <w:tcPr>
                  <w:tcW w:w="2687" w:type="pct"/>
                  <w:tcBorders>
                    <w:bottom w:val="single" w:color="auto" w:sz="12" w:space="0"/>
                  </w:tcBorders>
                  <w:noWrap w:val="0"/>
                  <w:vAlign w:val="top"/>
                </w:tcPr>
                <w:p>
                  <w:pPr>
                    <w:jc w:val="center"/>
                    <w:rPr>
                      <w:rFonts w:hint="eastAsia"/>
                      <w:b/>
                      <w:bCs/>
                      <w:color w:val="auto"/>
                      <w:szCs w:val="21"/>
                    </w:rPr>
                  </w:pPr>
                  <w:r>
                    <w:rPr>
                      <w:rFonts w:hint="eastAsia" w:eastAsia="宋体"/>
                      <w:color w:val="auto"/>
                      <w:lang w:eastAsia="zh-CN"/>
                    </w:rPr>
                    <w:drawing>
                      <wp:inline distT="0" distB="0" distL="114300" distR="114300">
                        <wp:extent cx="2006600" cy="2304415"/>
                        <wp:effectExtent l="0" t="0" r="12700" b="635"/>
                        <wp:docPr id="8" name="图片 2" descr="2430cb9a3a0fb6f3faf3499d377a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2430cb9a3a0fb6f3faf3499d377aefb"/>
                                <pic:cNvPicPr>
                                  <a:picLocks noChangeAspect="1"/>
                                </pic:cNvPicPr>
                              </pic:nvPicPr>
                              <pic:blipFill>
                                <a:blip r:embed="rId15"/>
                                <a:srcRect t="17325" b="18079"/>
                                <a:stretch>
                                  <a:fillRect/>
                                </a:stretch>
                              </pic:blipFill>
                              <pic:spPr>
                                <a:xfrm>
                                  <a:off x="0" y="0"/>
                                  <a:ext cx="2006600" cy="2304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pct"/>
                  <w:tcBorders>
                    <w:top w:val="single" w:color="auto" w:sz="12" w:space="0"/>
                    <w:bottom w:val="single" w:color="auto" w:sz="12" w:space="0"/>
                  </w:tcBorders>
                  <w:noWrap w:val="0"/>
                  <w:vAlign w:val="top"/>
                </w:tcPr>
                <w:p>
                  <w:pPr>
                    <w:jc w:val="center"/>
                    <w:rPr>
                      <w:rFonts w:hint="eastAsia" w:eastAsia="宋体"/>
                      <w:b/>
                      <w:bCs/>
                      <w:color w:val="auto"/>
                      <w:szCs w:val="21"/>
                      <w:lang w:eastAsia="zh-CN"/>
                    </w:rPr>
                  </w:pPr>
                  <w:r>
                    <w:rPr>
                      <w:rFonts w:hint="eastAsia"/>
                      <w:b/>
                      <w:bCs/>
                      <w:color w:val="auto"/>
                      <w:szCs w:val="21"/>
                      <w:lang w:val="en-US" w:eastAsia="zh-CN"/>
                    </w:rPr>
                    <w:t>塑料编织布</w:t>
                  </w:r>
                </w:p>
              </w:tc>
              <w:tc>
                <w:tcPr>
                  <w:tcW w:w="2687" w:type="pct"/>
                  <w:tcBorders>
                    <w:top w:val="single" w:color="auto" w:sz="12" w:space="0"/>
                    <w:bottom w:val="single" w:color="auto" w:sz="12" w:space="0"/>
                  </w:tcBorders>
                  <w:noWrap w:val="0"/>
                  <w:vAlign w:val="top"/>
                </w:tcPr>
                <w:p>
                  <w:pPr>
                    <w:jc w:val="center"/>
                    <w:rPr>
                      <w:rFonts w:hint="default" w:eastAsia="宋体"/>
                      <w:b/>
                      <w:bCs/>
                      <w:color w:val="auto"/>
                      <w:szCs w:val="21"/>
                      <w:lang w:val="en-US" w:eastAsia="zh-CN"/>
                    </w:rPr>
                  </w:pPr>
                  <w:r>
                    <w:rPr>
                      <w:rFonts w:hint="eastAsia"/>
                      <w:b/>
                      <w:bCs/>
                      <w:color w:val="auto"/>
                      <w:szCs w:val="21"/>
                      <w:lang w:val="en-US" w:eastAsia="zh-CN"/>
                    </w:rPr>
                    <w:t>塑料编织布</w:t>
                  </w:r>
                </w:p>
              </w:tc>
            </w:tr>
          </w:tbl>
          <w:p>
            <w:pPr>
              <w:spacing w:line="360" w:lineRule="auto"/>
              <w:ind w:firstLine="480" w:firstLineChars="200"/>
              <w:rPr>
                <w:rFonts w:hint="eastAsia" w:ascii="Times New Roman" w:hAnsi="Times New Roman"/>
                <w:b w:val="0"/>
                <w:bCs w:val="0"/>
                <w:color w:val="auto"/>
                <w:sz w:val="24"/>
                <w:szCs w:val="32"/>
              </w:rPr>
            </w:pPr>
            <w:r>
              <w:rPr>
                <w:rFonts w:hint="eastAsia"/>
                <w:b w:val="0"/>
                <w:bCs w:val="0"/>
                <w:color w:val="auto"/>
                <w:sz w:val="24"/>
                <w:szCs w:val="32"/>
              </w:rPr>
              <w:t>本项目建成后，全厂生产线变化情况如下：</w:t>
            </w:r>
          </w:p>
          <w:p>
            <w:pPr>
              <w:pStyle w:val="72"/>
              <w:spacing w:after="0" w:afterLines="0" w:line="240" w:lineRule="auto"/>
              <w:ind w:firstLine="0" w:firstLineChars="0"/>
              <w:jc w:val="center"/>
              <w:rPr>
                <w:color w:val="auto"/>
                <w:sz w:val="21"/>
                <w:szCs w:val="21"/>
              </w:rPr>
            </w:pPr>
            <w:r>
              <w:rPr>
                <w:color w:val="auto"/>
                <w:szCs w:val="21"/>
              </w:rPr>
              <w:t>表2-</w:t>
            </w:r>
            <w:r>
              <w:rPr>
                <w:rFonts w:hint="eastAsia"/>
                <w:color w:val="auto"/>
                <w:szCs w:val="21"/>
                <w:lang w:val="en-US" w:eastAsia="zh-CN"/>
              </w:rPr>
              <w:t>2</w:t>
            </w:r>
            <w:r>
              <w:rPr>
                <w:color w:val="auto"/>
                <w:szCs w:val="21"/>
              </w:rPr>
              <w:t xml:space="preserve"> 项目全厂生产线及产品方案</w:t>
            </w:r>
            <w:r>
              <w:rPr>
                <w:rFonts w:hint="eastAsia" w:ascii="Times New Roman" w:hAnsi="Times New Roman"/>
                <w:b/>
                <w:bCs/>
                <w:color w:val="auto"/>
                <w:sz w:val="21"/>
                <w:szCs w:val="21"/>
              </w:rPr>
              <w:t>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115"/>
              <w:gridCol w:w="1497"/>
              <w:gridCol w:w="1514"/>
              <w:gridCol w:w="23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72" w:type="pct"/>
                  <w:tcBorders>
                    <w:top w:val="single" w:color="auto" w:sz="12" w:space="0"/>
                    <w:bottom w:val="nil"/>
                  </w:tcBorders>
                  <w:shd w:val="clear" w:color="auto" w:fill="DCE6F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序号</w:t>
                  </w:r>
                </w:p>
              </w:tc>
              <w:tc>
                <w:tcPr>
                  <w:tcW w:w="1260" w:type="pct"/>
                  <w:tcBorders>
                    <w:top w:val="single" w:color="auto" w:sz="12" w:space="0"/>
                    <w:bottom w:val="nil"/>
                  </w:tcBorders>
                  <w:shd w:val="clear" w:color="auto" w:fill="DCE6F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生产线名称（编号）</w:t>
                  </w:r>
                </w:p>
              </w:tc>
              <w:tc>
                <w:tcPr>
                  <w:tcW w:w="892" w:type="pct"/>
                  <w:tcBorders>
                    <w:top w:val="single" w:color="auto" w:sz="12" w:space="0"/>
                    <w:bottom w:val="nil"/>
                  </w:tcBorders>
                  <w:shd w:val="clear" w:color="auto" w:fill="DCE6F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产品名称</w:t>
                  </w:r>
                </w:p>
              </w:tc>
              <w:tc>
                <w:tcPr>
                  <w:tcW w:w="902" w:type="pct"/>
                  <w:tcBorders>
                    <w:top w:val="single" w:color="auto" w:sz="12" w:space="0"/>
                  </w:tcBorders>
                  <w:shd w:val="clear" w:color="auto" w:fill="DCE6F2"/>
                  <w:noWrap w:val="0"/>
                  <w:vAlign w:val="center"/>
                </w:tcPr>
                <w:p>
                  <w:pPr>
                    <w:spacing w:line="240" w:lineRule="auto"/>
                    <w:jc w:val="center"/>
                    <w:rPr>
                      <w:rFonts w:hint="eastAsia" w:ascii="Times New Roman" w:hAnsi="Times New Roman" w:eastAsia="宋体"/>
                      <w:b/>
                      <w:bCs/>
                      <w:color w:val="auto"/>
                      <w:sz w:val="21"/>
                      <w:szCs w:val="21"/>
                      <w:lang w:eastAsia="zh-CN"/>
                    </w:rPr>
                  </w:pPr>
                  <w:r>
                    <w:rPr>
                      <w:rFonts w:hint="eastAsia" w:ascii="Times New Roman" w:hAnsi="Times New Roman"/>
                      <w:b/>
                      <w:bCs/>
                      <w:color w:val="auto"/>
                      <w:sz w:val="21"/>
                      <w:szCs w:val="21"/>
                      <w:lang w:eastAsia="zh-CN"/>
                    </w:rPr>
                    <w:t>生产规模</w:t>
                  </w:r>
                </w:p>
              </w:tc>
              <w:tc>
                <w:tcPr>
                  <w:tcW w:w="1372" w:type="pct"/>
                  <w:tcBorders>
                    <w:top w:val="single" w:color="auto" w:sz="12" w:space="0"/>
                    <w:bottom w:val="nil"/>
                  </w:tcBorders>
                  <w:shd w:val="clear" w:color="auto" w:fill="DCE6F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1260"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塑料颗粒</w:t>
                  </w:r>
                  <w:r>
                    <w:rPr>
                      <w:rFonts w:ascii="Times New Roman" w:hAnsi="Times New Roman"/>
                      <w:color w:val="auto"/>
                      <w:sz w:val="21"/>
                      <w:szCs w:val="21"/>
                    </w:rPr>
                    <w:t>生产线（1#）</w:t>
                  </w:r>
                </w:p>
              </w:tc>
              <w:tc>
                <w:tcPr>
                  <w:tcW w:w="8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PP颗粒</w:t>
                  </w:r>
                </w:p>
              </w:tc>
              <w:tc>
                <w:tcPr>
                  <w:tcW w:w="90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5000t/a</w:t>
                  </w:r>
                </w:p>
              </w:tc>
              <w:tc>
                <w:tcPr>
                  <w:tcW w:w="137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w:t>
                  </w:r>
                </w:p>
              </w:tc>
              <w:tc>
                <w:tcPr>
                  <w:tcW w:w="1260"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塑料颗粒</w:t>
                  </w:r>
                  <w:r>
                    <w:rPr>
                      <w:rFonts w:ascii="Times New Roman" w:hAnsi="Times New Roman"/>
                      <w:color w:val="auto"/>
                      <w:sz w:val="21"/>
                      <w:szCs w:val="21"/>
                    </w:rPr>
                    <w:t>生产线（2#）</w:t>
                  </w:r>
                </w:p>
              </w:tc>
              <w:tc>
                <w:tcPr>
                  <w:tcW w:w="8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PP颗粒</w:t>
                  </w:r>
                </w:p>
              </w:tc>
              <w:tc>
                <w:tcPr>
                  <w:tcW w:w="90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5000t/a</w:t>
                  </w:r>
                </w:p>
              </w:tc>
              <w:tc>
                <w:tcPr>
                  <w:tcW w:w="1372"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7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w:t>
                  </w:r>
                </w:p>
              </w:tc>
              <w:tc>
                <w:tcPr>
                  <w:tcW w:w="1260"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圆织生产线</w:t>
                  </w:r>
                  <w:r>
                    <w:rPr>
                      <w:rFonts w:ascii="Times New Roman" w:hAnsi="Times New Roman"/>
                      <w:color w:val="auto"/>
                      <w:sz w:val="21"/>
                      <w:szCs w:val="21"/>
                    </w:rPr>
                    <w:t>生产线（</w:t>
                  </w:r>
                  <w:r>
                    <w:rPr>
                      <w:rFonts w:hint="eastAsia" w:ascii="Times New Roman" w:hAnsi="Times New Roman"/>
                      <w:color w:val="auto"/>
                      <w:sz w:val="21"/>
                      <w:szCs w:val="21"/>
                      <w:lang w:val="en-US" w:eastAsia="zh-CN"/>
                    </w:rPr>
                    <w:t>3</w:t>
                  </w:r>
                  <w:r>
                    <w:rPr>
                      <w:rFonts w:ascii="Times New Roman" w:hAnsi="Times New Roman"/>
                      <w:color w:val="auto"/>
                      <w:sz w:val="21"/>
                      <w:szCs w:val="21"/>
                    </w:rPr>
                    <w:t>#）</w:t>
                  </w:r>
                </w:p>
              </w:tc>
              <w:tc>
                <w:tcPr>
                  <w:tcW w:w="892" w:type="pct"/>
                  <w:noWrap w:val="0"/>
                  <w:vAlign w:val="center"/>
                </w:tcPr>
                <w:p>
                  <w:pPr>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塑料编织布</w:t>
                  </w:r>
                </w:p>
              </w:tc>
              <w:tc>
                <w:tcPr>
                  <w:tcW w:w="902" w:type="pct"/>
                  <w:noWrap w:val="0"/>
                  <w:vAlign w:val="center"/>
                </w:tcPr>
                <w:p>
                  <w:pPr>
                    <w:spacing w:line="240" w:lineRule="auto"/>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6500t/a</w:t>
                  </w:r>
                </w:p>
              </w:tc>
              <w:tc>
                <w:tcPr>
                  <w:tcW w:w="1372"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由塑料丝生产线技改而来，产品由塑料丝变为塑料编织布</w:t>
                  </w:r>
                </w:p>
              </w:tc>
            </w:tr>
          </w:tbl>
          <w:p>
            <w:pPr>
              <w:pStyle w:val="71"/>
              <w:keepNext w:val="0"/>
              <w:keepLines w:val="0"/>
              <w:pageBreakBefore w:val="0"/>
              <w:widowControl w:val="0"/>
              <w:kinsoku/>
              <w:wordWrap/>
              <w:overflowPunct/>
              <w:topLinePunct w:val="0"/>
              <w:autoSpaceDE/>
              <w:autoSpaceDN/>
              <w:bidi w:val="0"/>
              <w:spacing w:before="0" w:beforeLines="0" w:line="360" w:lineRule="auto"/>
              <w:ind w:left="0" w:leftChars="0" w:firstLine="0" w:firstLineChars="0"/>
              <w:textAlignment w:val="auto"/>
              <w:rPr>
                <w:color w:val="auto"/>
                <w:sz w:val="24"/>
                <w:szCs w:val="24"/>
              </w:rPr>
            </w:pPr>
            <w:r>
              <w:rPr>
                <w:color w:val="auto"/>
                <w:sz w:val="24"/>
                <w:szCs w:val="24"/>
              </w:rPr>
              <w:t>三</w:t>
            </w:r>
            <w:r>
              <w:rPr>
                <w:rFonts w:hint="eastAsia"/>
                <w:color w:val="auto"/>
                <w:sz w:val="24"/>
                <w:szCs w:val="24"/>
                <w:lang w:eastAsia="zh-CN"/>
              </w:rPr>
              <w:t>、</w:t>
            </w:r>
            <w:r>
              <w:rPr>
                <w:color w:val="auto"/>
                <w:sz w:val="24"/>
                <w:szCs w:val="24"/>
              </w:rPr>
              <w:t>项目组成及建设内容</w:t>
            </w:r>
          </w:p>
          <w:p>
            <w:pPr>
              <w:pStyle w:val="69"/>
              <w:keepNext w:val="0"/>
              <w:keepLines w:val="0"/>
              <w:pageBreakBefore w:val="0"/>
              <w:widowControl w:val="0"/>
              <w:kinsoku/>
              <w:wordWrap/>
              <w:overflowPunct/>
              <w:topLinePunct w:val="0"/>
              <w:autoSpaceDE/>
              <w:autoSpaceDN/>
              <w:bidi w:val="0"/>
              <w:spacing w:line="360" w:lineRule="auto"/>
              <w:ind w:firstLine="480" w:firstLineChars="200"/>
              <w:textAlignment w:val="auto"/>
              <w:rPr>
                <w:snapToGrid w:val="0"/>
                <w:color w:val="auto"/>
                <w:sz w:val="24"/>
                <w:szCs w:val="24"/>
              </w:rPr>
            </w:pPr>
            <w:r>
              <w:rPr>
                <w:rFonts w:ascii="Times New Roman" w:hAnsi="Times New Roman"/>
                <w:color w:val="auto"/>
                <w:sz w:val="24"/>
                <w:szCs w:val="24"/>
              </w:rPr>
              <w:t>项目由主体工程、辅助工程、公用工程、环保工程、办公生活设施、储运系统组成</w:t>
            </w:r>
            <w:r>
              <w:rPr>
                <w:color w:val="auto"/>
                <w:sz w:val="24"/>
                <w:szCs w:val="24"/>
              </w:rPr>
              <w:t>。</w:t>
            </w:r>
            <w:r>
              <w:rPr>
                <w:snapToGrid w:val="0"/>
                <w:color w:val="auto"/>
                <w:sz w:val="24"/>
                <w:szCs w:val="24"/>
              </w:rPr>
              <w:t>项目组成及主要环境问题见表2-</w:t>
            </w:r>
            <w:r>
              <w:rPr>
                <w:rFonts w:hint="eastAsia"/>
                <w:snapToGrid w:val="0"/>
                <w:color w:val="auto"/>
                <w:sz w:val="24"/>
                <w:szCs w:val="24"/>
                <w:lang w:val="en-US" w:eastAsia="zh-CN"/>
              </w:rPr>
              <w:t>3</w:t>
            </w:r>
            <w:r>
              <w:rPr>
                <w:snapToGrid w:val="0"/>
                <w:color w:val="auto"/>
                <w:sz w:val="24"/>
                <w:szCs w:val="24"/>
              </w:rPr>
              <w:t>。</w:t>
            </w:r>
          </w:p>
          <w:p>
            <w:pPr>
              <w:pStyle w:val="72"/>
              <w:spacing w:after="0" w:afterLines="0" w:line="240" w:lineRule="auto"/>
              <w:ind w:firstLine="0" w:firstLineChars="0"/>
              <w:jc w:val="center"/>
              <w:rPr>
                <w:snapToGrid w:val="0"/>
                <w:color w:val="auto"/>
                <w:szCs w:val="21"/>
              </w:rPr>
            </w:pPr>
            <w:r>
              <w:rPr>
                <w:snapToGrid w:val="0"/>
                <w:color w:val="auto"/>
                <w:szCs w:val="21"/>
              </w:rPr>
              <w:t>表2-</w:t>
            </w:r>
            <w:r>
              <w:rPr>
                <w:rFonts w:hint="eastAsia"/>
                <w:snapToGrid w:val="0"/>
                <w:color w:val="auto"/>
                <w:szCs w:val="21"/>
                <w:lang w:val="en-US" w:eastAsia="zh-CN"/>
              </w:rPr>
              <w:t>3</w:t>
            </w:r>
            <w:r>
              <w:rPr>
                <w:snapToGrid w:val="0"/>
                <w:color w:val="auto"/>
                <w:szCs w:val="21"/>
              </w:rPr>
              <w:t xml:space="preserve"> 项目组成及主要环境问题</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1344"/>
              <w:gridCol w:w="3041"/>
              <w:gridCol w:w="1202"/>
              <w:gridCol w:w="1412"/>
              <w:gridCol w:w="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46" w:type="pct"/>
                  <w:gridSpan w:val="2"/>
                  <w:vMerge w:val="restart"/>
                  <w:shd w:val="clear" w:color="auto" w:fill="DCE6F2"/>
                  <w:noWrap w:val="0"/>
                  <w:vAlign w:val="center"/>
                </w:tcPr>
                <w:p>
                  <w:pPr>
                    <w:pStyle w:val="25"/>
                    <w:widowControl/>
                    <w:spacing w:before="0" w:beforeAutospacing="0" w:after="0" w:afterAutospacing="0" w:line="240" w:lineRule="auto"/>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项目名称</w:t>
                  </w:r>
                </w:p>
              </w:tc>
              <w:tc>
                <w:tcPr>
                  <w:tcW w:w="1812" w:type="pct"/>
                  <w:vMerge w:val="restart"/>
                  <w:shd w:val="clear" w:color="auto" w:fill="DCE6F2"/>
                  <w:noWrap w:val="0"/>
                  <w:vAlign w:val="center"/>
                </w:tcPr>
                <w:p>
                  <w:pPr>
                    <w:pStyle w:val="25"/>
                    <w:widowControl/>
                    <w:spacing w:before="0" w:beforeAutospacing="0" w:after="0" w:afterAutospacing="0" w:line="240" w:lineRule="auto"/>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建设内容</w:t>
                  </w:r>
                </w:p>
              </w:tc>
              <w:tc>
                <w:tcPr>
                  <w:tcW w:w="1557" w:type="pct"/>
                  <w:gridSpan w:val="2"/>
                  <w:shd w:val="clear" w:color="auto" w:fill="DCE6F2"/>
                  <w:noWrap w:val="0"/>
                  <w:vAlign w:val="center"/>
                </w:tcPr>
                <w:p>
                  <w:pPr>
                    <w:pStyle w:val="25"/>
                    <w:widowControl/>
                    <w:spacing w:before="0" w:beforeAutospacing="0" w:after="0" w:afterAutospacing="0" w:line="240" w:lineRule="auto"/>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可能产生的主要环境问题</w:t>
                  </w:r>
                </w:p>
              </w:tc>
              <w:tc>
                <w:tcPr>
                  <w:tcW w:w="483" w:type="pct"/>
                  <w:vMerge w:val="restart"/>
                  <w:shd w:val="clear" w:color="auto" w:fill="DCE6F2"/>
                  <w:noWrap w:val="0"/>
                  <w:vAlign w:val="center"/>
                </w:tcPr>
                <w:p>
                  <w:pPr>
                    <w:pStyle w:val="25"/>
                    <w:widowControl/>
                    <w:spacing w:before="0" w:beforeAutospacing="0" w:after="0" w:afterAutospacing="0" w:line="240" w:lineRule="auto"/>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6" w:type="pct"/>
                  <w:gridSpan w:val="2"/>
                  <w:vMerge w:val="continue"/>
                  <w:shd w:val="clear" w:color="auto" w:fill="auto"/>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1812" w:type="pct"/>
                  <w:vMerge w:val="continue"/>
                  <w:shd w:val="clear" w:color="auto" w:fill="auto"/>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716" w:type="pct"/>
                  <w:shd w:val="clear" w:color="auto" w:fill="DCE6F2"/>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施工期</w:t>
                  </w:r>
                </w:p>
              </w:tc>
              <w:tc>
                <w:tcPr>
                  <w:tcW w:w="841" w:type="pct"/>
                  <w:shd w:val="clear" w:color="auto" w:fill="DCE6F2"/>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营运期</w:t>
                  </w:r>
                </w:p>
              </w:tc>
              <w:tc>
                <w:tcPr>
                  <w:tcW w:w="483"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主体工程</w:t>
                  </w: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生产车间，面积约15955.3m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，四边形，框架结构</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在塑料丝生产线后端增加1</w:t>
                  </w:r>
                  <w:r>
                    <w:rPr>
                      <w:rFonts w:hint="default" w:ascii="Times New Roman" w:hAnsi="Times New Roman" w:cs="Times New Roman"/>
                      <w:color w:val="auto"/>
                      <w:sz w:val="21"/>
                      <w:szCs w:val="21"/>
                    </w:rPr>
                    <w:t>条</w:t>
                  </w:r>
                  <w:r>
                    <w:rPr>
                      <w:rFonts w:hint="default" w:ascii="Times New Roman" w:hAnsi="Times New Roman" w:cs="Times New Roman"/>
                      <w:color w:val="auto"/>
                      <w:sz w:val="21"/>
                      <w:szCs w:val="21"/>
                      <w:lang w:val="en-US" w:eastAsia="zh-CN"/>
                    </w:rPr>
                    <w:t>圆织</w:t>
                  </w:r>
                  <w:r>
                    <w:rPr>
                      <w:rFonts w:hint="default" w:ascii="Times New Roman" w:hAnsi="Times New Roman" w:cs="Times New Roman"/>
                      <w:color w:val="auto"/>
                      <w:sz w:val="21"/>
                      <w:szCs w:val="21"/>
                    </w:rPr>
                    <w:t>生产线，位于生产车间东区南侧，流程为</w:t>
                  </w:r>
                  <w:r>
                    <w:rPr>
                      <w:rFonts w:hint="default" w:ascii="Times New Roman" w:hAnsi="Times New Roman" w:cs="Times New Roman"/>
                      <w:color w:val="auto"/>
                      <w:sz w:val="21"/>
                      <w:szCs w:val="21"/>
                      <w:lang w:val="en-US" w:eastAsia="zh-CN"/>
                    </w:rPr>
                    <w:t>圆</w:t>
                  </w:r>
                  <w:r>
                    <w:rPr>
                      <w:rFonts w:hint="default" w:ascii="Times New Roman" w:hAnsi="Times New Roman" w:cs="Times New Roman"/>
                      <w:bCs/>
                      <w:color w:val="auto"/>
                      <w:sz w:val="21"/>
                      <w:szCs w:val="21"/>
                      <w:lang w:val="en-US" w:eastAsia="zh-CN"/>
                    </w:rPr>
                    <w:t>织-布球</w:t>
                  </w:r>
                  <w:r>
                    <w:rPr>
                      <w:rFonts w:hint="default" w:ascii="Times New Roman" w:hAnsi="Times New Roman" w:cs="Times New Roman"/>
                      <w:color w:val="auto"/>
                      <w:sz w:val="21"/>
                      <w:szCs w:val="21"/>
                    </w:rPr>
                    <w:t>；生产线上布置有</w:t>
                  </w:r>
                  <w:r>
                    <w:rPr>
                      <w:rFonts w:hint="default" w:ascii="Times New Roman" w:hAnsi="Times New Roman" w:cs="Times New Roman"/>
                      <w:color w:val="auto"/>
                      <w:sz w:val="21"/>
                      <w:szCs w:val="21"/>
                      <w:lang w:val="en-US" w:eastAsia="zh-CN"/>
                    </w:rPr>
                    <w:t>150台圆织机</w:t>
                  </w:r>
                  <w:r>
                    <w:rPr>
                      <w:rFonts w:hint="default" w:ascii="Times New Roman" w:hAnsi="Times New Roman" w:cs="Times New Roman"/>
                      <w:color w:val="auto"/>
                      <w:sz w:val="21"/>
                      <w:szCs w:val="21"/>
                    </w:rPr>
                    <w:t>。</w:t>
                  </w:r>
                </w:p>
              </w:tc>
              <w:tc>
                <w:tcPr>
                  <w:tcW w:w="716" w:type="pct"/>
                  <w:vMerge w:val="restar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施工扬尘、施工废气、施工废水、施工噪声、建筑垃圾、施工人员生活废水、施工人员生活垃圾</w:t>
                  </w: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噪声，</w:t>
                  </w:r>
                  <w:r>
                    <w:rPr>
                      <w:rFonts w:hint="default" w:ascii="Times New Roman" w:hAnsi="Times New Roman" w:cs="Times New Roman"/>
                      <w:bCs/>
                      <w:color w:val="auto"/>
                      <w:sz w:val="21"/>
                      <w:szCs w:val="21"/>
                    </w:rPr>
                    <w:t>颗粒物</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废塑料丝、废编织袋</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45" w:type="pct"/>
                  <w:vMerge w:val="restar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仓储及其他</w:t>
                  </w: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废旧塑料堆放区</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位于生产车间西区，占地面积约4000m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，料场区域与同一车间内的其他区域隔出一定的距离，并在区域内设置明显标志，明确要求禁止该区域内存放除原料外的其他物品。</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依托</w:t>
                  </w:r>
                  <w:r>
                    <w:rPr>
                      <w:rFonts w:hint="default" w:ascii="Times New Roman" w:hAnsi="Times New Roman" w:cs="Times New Roman"/>
                      <w:bCs/>
                      <w:color w:val="auto"/>
                      <w:sz w:val="21"/>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塑料颗粒堆放区</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位于生产车间东区北侧，用于存放颗粒产品，临近项目生产车间北侧大门，便于产品的堆放及运送，占地面积约600m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依托</w:t>
                  </w:r>
                  <w:r>
                    <w:rPr>
                      <w:rFonts w:hint="default" w:ascii="Times New Roman" w:hAnsi="Times New Roman" w:cs="Times New Roman"/>
                      <w:bCs/>
                      <w:color w:val="auto"/>
                      <w:sz w:val="21"/>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塑料编织布</w:t>
                  </w:r>
                  <w:r>
                    <w:rPr>
                      <w:rFonts w:hint="default" w:ascii="Times New Roman" w:hAnsi="Times New Roman" w:cs="Times New Roman"/>
                      <w:bCs/>
                      <w:color w:val="auto"/>
                      <w:sz w:val="21"/>
                      <w:szCs w:val="21"/>
                    </w:rPr>
                    <w:t>堆放区</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位于生产车间东区北侧，用于存放</w:t>
                  </w:r>
                  <w:r>
                    <w:rPr>
                      <w:rFonts w:hint="default" w:ascii="Times New Roman" w:hAnsi="Times New Roman" w:cs="Times New Roman"/>
                      <w:bCs/>
                      <w:color w:val="auto"/>
                      <w:sz w:val="21"/>
                      <w:szCs w:val="21"/>
                      <w:lang w:eastAsia="zh-CN"/>
                    </w:rPr>
                    <w:t>塑料编织布</w:t>
                  </w:r>
                  <w:r>
                    <w:rPr>
                      <w:rFonts w:hint="default" w:ascii="Times New Roman" w:hAnsi="Times New Roman" w:cs="Times New Roman"/>
                      <w:bCs/>
                      <w:color w:val="auto"/>
                      <w:sz w:val="21"/>
                      <w:szCs w:val="21"/>
                    </w:rPr>
                    <w:t>产品，紧邻项目拉丝生产线收卷包装位置，同时邻近项目生产厂房北侧大门，便于产品的堆放及运送，占地面积约600m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5" w:type="pct"/>
                  <w:vMerge w:val="restar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环保工程</w:t>
                  </w:r>
                </w:p>
              </w:tc>
              <w:tc>
                <w:tcPr>
                  <w:tcW w:w="801" w:type="pct"/>
                  <w:vMerge w:val="restar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废气</w:t>
                  </w:r>
                </w:p>
              </w:tc>
              <w:tc>
                <w:tcPr>
                  <w:tcW w:w="1812" w:type="pct"/>
                  <w:noWrap w:val="0"/>
                  <w:vAlign w:val="center"/>
                </w:tcPr>
                <w:p>
                  <w:pPr>
                    <w:pStyle w:val="25"/>
                    <w:widowControl/>
                    <w:spacing w:before="0" w:beforeAutospacing="0" w:after="0" w:afterAutospacing="0" w:line="240" w:lineRule="auto"/>
                    <w:jc w:val="both"/>
                    <w:rPr>
                      <w:rFonts w:hint="default" w:ascii="Times New Roman" w:hAnsi="Times New Roman" w:cs="Times New Roman"/>
                      <w:bCs/>
                      <w:color w:val="auto"/>
                      <w:sz w:val="21"/>
                      <w:szCs w:val="21"/>
                    </w:rPr>
                  </w:pPr>
                  <w:r>
                    <w:rPr>
                      <w:rFonts w:hint="default" w:ascii="Times New Roman" w:hAnsi="Times New Roman" w:cs="Times New Roman"/>
                      <w:color w:val="auto"/>
                      <w:kern w:val="0"/>
                      <w:sz w:val="21"/>
                      <w:szCs w:val="21"/>
                    </w:rPr>
                    <w:t>造粒、拉丝</w:t>
                  </w:r>
                  <w:r>
                    <w:rPr>
                      <w:rFonts w:hint="default" w:ascii="Times New Roman" w:hAnsi="Times New Roman" w:cs="Times New Roman"/>
                      <w:color w:val="auto"/>
                      <w:kern w:val="0"/>
                      <w:sz w:val="21"/>
                      <w:szCs w:val="21"/>
                      <w:lang w:eastAsia="zh-CN"/>
                    </w:rPr>
                    <w:t>、搅拌</w:t>
                  </w:r>
                  <w:r>
                    <w:rPr>
                      <w:rFonts w:hint="default" w:ascii="Times New Roman" w:hAnsi="Times New Roman" w:cs="Times New Roman"/>
                      <w:color w:val="auto"/>
                      <w:kern w:val="0"/>
                      <w:sz w:val="21"/>
                      <w:szCs w:val="21"/>
                    </w:rPr>
                    <w:t>产生的废气</w:t>
                  </w:r>
                  <w:r>
                    <w:rPr>
                      <w:rFonts w:hint="default" w:ascii="Times New Roman" w:hAnsi="Times New Roman" w:cs="Times New Roman"/>
                      <w:color w:val="auto"/>
                      <w:kern w:val="0"/>
                      <w:sz w:val="21"/>
                      <w:szCs w:val="21"/>
                      <w:lang w:val="en-US" w:eastAsia="zh-CN"/>
                    </w:rPr>
                    <w:t>措施：</w:t>
                  </w:r>
                  <w:r>
                    <w:rPr>
                      <w:rFonts w:hint="default" w:ascii="Times New Roman" w:hAnsi="Times New Roman" w:cs="Times New Roman"/>
                      <w:color w:val="auto"/>
                      <w:kern w:val="0"/>
                      <w:sz w:val="21"/>
                      <w:szCs w:val="21"/>
                    </w:rPr>
                    <w:t>采用厂房密闭+集气罩+塑料门帘进行负压收集，废气直接抽吸进入排气管道，收集后的废气统一由布袋除尘器+水膜+喷淋塔+UV光解+低温等离子+二级活性炭吸附处理设备处理后由已有废气排气筒（</w:t>
                  </w:r>
                  <w:r>
                    <w:rPr>
                      <w:rFonts w:hint="default" w:ascii="Times New Roman" w:hAnsi="Times New Roman" w:cs="Times New Roman"/>
                      <w:color w:val="auto"/>
                      <w:kern w:val="0"/>
                      <w:sz w:val="21"/>
                      <w:szCs w:val="21"/>
                      <w:lang w:eastAsia="zh-CN"/>
                    </w:rPr>
                    <w:t>DA001</w:t>
                  </w:r>
                  <w:r>
                    <w:rPr>
                      <w:rFonts w:hint="default" w:ascii="Times New Roman" w:hAnsi="Times New Roman" w:cs="Times New Roman"/>
                      <w:color w:val="auto"/>
                      <w:kern w:val="0"/>
                      <w:sz w:val="21"/>
                      <w:szCs w:val="21"/>
                    </w:rPr>
                    <w:t>）排放</w:t>
                  </w:r>
                  <w:r>
                    <w:rPr>
                      <w:rFonts w:hint="default" w:ascii="Times New Roman" w:hAnsi="Times New Roman" w:cs="Times New Roman"/>
                      <w:bCs/>
                      <w:color w:val="auto"/>
                      <w:sz w:val="21"/>
                      <w:szCs w:val="21"/>
                    </w:rPr>
                    <w:t>。</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1812" w:type="pct"/>
                  <w:noWrap w:val="0"/>
                  <w:vAlign w:val="center"/>
                </w:tcPr>
                <w:p>
                  <w:pPr>
                    <w:pStyle w:val="25"/>
                    <w:widowControl/>
                    <w:spacing w:before="0" w:beforeAutospacing="0" w:after="0" w:afterAutospacing="0" w:line="240" w:lineRule="auto"/>
                    <w:jc w:val="both"/>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采用钢板或水泥板对ABR厌氧池、二级接触氧化池等易产生臭气处理池进行密封，确保臭气不外溢</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以新带老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低噪声设备、合理布置噪声源、隔声减振措施</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加装隔声窗</w:t>
                  </w:r>
                  <w:r>
                    <w:rPr>
                      <w:rFonts w:hint="default" w:ascii="Times New Roman" w:hAnsi="Times New Roman" w:cs="Times New Roman"/>
                      <w:bCs/>
                      <w:color w:val="auto"/>
                      <w:sz w:val="21"/>
                      <w:szCs w:val="21"/>
                    </w:rPr>
                    <w:t>。</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以新带老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vMerge w:val="restar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w:t>
                  </w:r>
                </w:p>
              </w:tc>
              <w:tc>
                <w:tcPr>
                  <w:tcW w:w="1812" w:type="pct"/>
                  <w:noWrap w:val="0"/>
                  <w:vAlign w:val="center"/>
                </w:tcPr>
                <w:p>
                  <w:pPr>
                    <w:pStyle w:val="25"/>
                    <w:widowControl/>
                    <w:spacing w:before="0" w:beforeAutospacing="0" w:after="0" w:afterAutospacing="0" w:line="240" w:lineRule="auto"/>
                    <w:jc w:val="both"/>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冷却水循环使用不外排</w:t>
                  </w:r>
                  <w:r>
                    <w:rPr>
                      <w:rFonts w:hint="default" w:ascii="Times New Roman" w:hAnsi="Times New Roman" w:cs="Times New Roman"/>
                      <w:bCs/>
                      <w:color w:val="auto"/>
                      <w:sz w:val="21"/>
                      <w:szCs w:val="21"/>
                      <w:lang w:eastAsia="zh-CN"/>
                    </w:rPr>
                    <w:t>；</w:t>
                  </w:r>
                  <w:r>
                    <w:rPr>
                      <w:rFonts w:hint="default" w:ascii="Times New Roman" w:hAnsi="Times New Roman" w:cs="Times New Roman"/>
                      <w:color w:val="auto"/>
                      <w:sz w:val="21"/>
                      <w:szCs w:val="21"/>
                    </w:rPr>
                    <w:t>食堂废水经</w:t>
                  </w:r>
                  <w:r>
                    <w:rPr>
                      <w:rFonts w:hint="default" w:ascii="Times New Roman" w:hAnsi="Times New Roman" w:cs="Times New Roman"/>
                      <w:bCs/>
                      <w:color w:val="auto"/>
                      <w:sz w:val="21"/>
                      <w:szCs w:val="21"/>
                    </w:rPr>
                    <w:t>3m</w:t>
                  </w:r>
                  <w:r>
                    <w:rPr>
                      <w:rFonts w:hint="default" w:ascii="Times New Roman" w:hAnsi="Times New Roman" w:cs="Times New Roman"/>
                      <w:bCs/>
                      <w:color w:val="auto"/>
                      <w:sz w:val="21"/>
                      <w:szCs w:val="21"/>
                      <w:vertAlign w:val="superscript"/>
                    </w:rPr>
                    <w:t>3</w:t>
                  </w:r>
                  <w:r>
                    <w:rPr>
                      <w:rFonts w:hint="default" w:ascii="Times New Roman" w:hAnsi="Times New Roman" w:cs="Times New Roman"/>
                      <w:color w:val="auto"/>
                      <w:sz w:val="21"/>
                      <w:szCs w:val="21"/>
                    </w:rPr>
                    <w:t>隔油池隔油处理后与</w:t>
                  </w:r>
                  <w:r>
                    <w:rPr>
                      <w:rFonts w:hint="default" w:ascii="Times New Roman" w:hAnsi="Times New Roman" w:cs="Times New Roman"/>
                      <w:bCs/>
                      <w:color w:val="auto"/>
                      <w:sz w:val="21"/>
                      <w:szCs w:val="21"/>
                    </w:rPr>
                    <w:t>生活污水</w:t>
                  </w:r>
                  <w:r>
                    <w:rPr>
                      <w:rFonts w:hint="default" w:ascii="Times New Roman" w:hAnsi="Times New Roman" w:cs="Times New Roman"/>
                      <w:bCs/>
                      <w:color w:val="auto"/>
                      <w:sz w:val="21"/>
                      <w:szCs w:val="21"/>
                      <w:lang w:val="en-US" w:eastAsia="zh-CN"/>
                    </w:rPr>
                    <w:t>经</w:t>
                  </w:r>
                  <w:r>
                    <w:rPr>
                      <w:rFonts w:hint="default" w:ascii="Times New Roman" w:hAnsi="Times New Roman" w:cs="Times New Roman"/>
                      <w:bCs/>
                      <w:color w:val="auto"/>
                      <w:sz w:val="21"/>
                      <w:szCs w:val="21"/>
                    </w:rPr>
                    <w:t>63m</w:t>
                  </w:r>
                  <w:r>
                    <w:rPr>
                      <w:rFonts w:hint="default" w:ascii="Times New Roman" w:hAnsi="Times New Roman" w:cs="Times New Roman"/>
                      <w:bCs/>
                      <w:color w:val="auto"/>
                      <w:sz w:val="21"/>
                      <w:szCs w:val="21"/>
                      <w:vertAlign w:val="superscript"/>
                    </w:rPr>
                    <w:t>3</w:t>
                  </w:r>
                  <w:r>
                    <w:rPr>
                      <w:rFonts w:hint="default" w:ascii="Times New Roman" w:hAnsi="Times New Roman" w:cs="Times New Roman"/>
                      <w:color w:val="auto"/>
                      <w:sz w:val="21"/>
                      <w:szCs w:val="21"/>
                    </w:rPr>
                    <w:t>预处理池处理</w:t>
                  </w:r>
                  <w:r>
                    <w:rPr>
                      <w:rFonts w:hint="default" w:ascii="Times New Roman" w:hAnsi="Times New Roman" w:cs="Times New Roman"/>
                      <w:bCs/>
                      <w:color w:val="auto"/>
                      <w:sz w:val="21"/>
                      <w:szCs w:val="21"/>
                    </w:rPr>
                    <w:t>后排入园区污水管网。</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恶臭</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1812" w:type="pct"/>
                  <w:noWrap w:val="0"/>
                  <w:vAlign w:val="center"/>
                </w:tcPr>
                <w:p>
                  <w:pPr>
                    <w:pStyle w:val="25"/>
                    <w:widowControl/>
                    <w:spacing w:before="0" w:beforeAutospacing="0" w:after="0" w:afterAutospacing="0" w:line="240" w:lineRule="auto"/>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auto"/>
                      <w:sz w:val="21"/>
                      <w:szCs w:val="21"/>
                    </w:rPr>
                    <w:t>生产废水经自建污水处理站</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处理能力为3000m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/d</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处理后循环使用</w:t>
                  </w:r>
                  <w:r>
                    <w:rPr>
                      <w:rFonts w:hint="default" w:ascii="Times New Roman" w:hAnsi="Times New Roman" w:cs="Times New Roman"/>
                      <w:bCs/>
                      <w:color w:val="auto"/>
                      <w:sz w:val="21"/>
                      <w:szCs w:val="21"/>
                      <w:lang w:eastAsia="zh-CN"/>
                    </w:rPr>
                    <w:t>。</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lang w:val="en-US" w:eastAsia="zh-CN"/>
                    </w:rPr>
                  </w:pP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vMerge w:val="restar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固废</w:t>
                  </w:r>
                </w:p>
              </w:tc>
              <w:tc>
                <w:tcPr>
                  <w:tcW w:w="1812" w:type="pct"/>
                  <w:noWrap w:val="0"/>
                  <w:vAlign w:val="center"/>
                </w:tcPr>
                <w:p>
                  <w:pPr>
                    <w:pStyle w:val="25"/>
                    <w:widowControl/>
                    <w:spacing w:before="0" w:beforeAutospacing="0" w:after="0" w:afterAutospacing="0" w:line="240" w:lineRule="auto"/>
                    <w:jc w:val="both"/>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一般固废间：</w:t>
                  </w:r>
                  <w:r>
                    <w:rPr>
                      <w:rFonts w:hint="default" w:ascii="Times New Roman" w:hAnsi="Times New Roman" w:cs="Times New Roman"/>
                      <w:bCs/>
                      <w:color w:val="auto"/>
                      <w:sz w:val="21"/>
                      <w:szCs w:val="21"/>
                    </w:rPr>
                    <w:t>本项目废过滤棉由生产厂家回收</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废包装材料、</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废塑料清洗产生的固废、职工生活垃圾收集后由当地环卫部门统一清运</w:t>
                  </w:r>
                  <w:r>
                    <w:rPr>
                      <w:rFonts w:hint="default" w:ascii="Times New Roman" w:hAnsi="Times New Roman" w:cs="Times New Roman"/>
                      <w:bCs/>
                      <w:color w:val="auto"/>
                      <w:sz w:val="21"/>
                      <w:szCs w:val="21"/>
                      <w:lang w:val="en-US" w:eastAsia="zh-CN"/>
                    </w:rPr>
                    <w:t>。</w:t>
                  </w:r>
                </w:p>
                <w:p>
                  <w:pPr>
                    <w:pStyle w:val="25"/>
                    <w:widowControl/>
                    <w:spacing w:before="0" w:beforeAutospacing="0" w:after="0" w:afterAutospacing="0" w:line="240" w:lineRule="auto"/>
                    <w:jc w:val="both"/>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危废暂存间：</w:t>
                  </w:r>
                  <w:r>
                    <w:rPr>
                      <w:rFonts w:hint="default" w:ascii="Times New Roman" w:hAnsi="Times New Roman" w:cs="Times New Roman"/>
                      <w:bCs/>
                      <w:color w:val="auto"/>
                      <w:sz w:val="21"/>
                      <w:szCs w:val="21"/>
                    </w:rPr>
                    <w:t>浮油、废UV灯管、活性炭吸附装置更换下来的废活性炭分类收集暂存于危废暂存间</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定期交由有资质单位处置。</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1812" w:type="pct"/>
                  <w:noWrap w:val="0"/>
                  <w:vAlign w:val="center"/>
                </w:tcPr>
                <w:p>
                  <w:pPr>
                    <w:pStyle w:val="25"/>
                    <w:widowControl/>
                    <w:spacing w:before="0" w:beforeAutospacing="0" w:after="0" w:afterAutospacing="0" w:line="240" w:lineRule="auto"/>
                    <w:jc w:val="both"/>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各类污泥交由有资质单位统一处理。</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1812" w:type="pct"/>
                  <w:noWrap w:val="0"/>
                  <w:vAlign w:val="center"/>
                </w:tcPr>
                <w:p>
                  <w:pPr>
                    <w:pStyle w:val="25"/>
                    <w:widowControl/>
                    <w:spacing w:before="0" w:beforeAutospacing="0" w:after="0" w:afterAutospacing="0" w:line="240" w:lineRule="auto"/>
                    <w:jc w:val="both"/>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rPr>
                    <w:t>废过滤网</w:t>
                  </w:r>
                  <w:r>
                    <w:rPr>
                      <w:rFonts w:hint="default" w:ascii="Times New Roman" w:hAnsi="Times New Roman" w:cs="Times New Roman"/>
                      <w:bCs/>
                      <w:color w:val="auto"/>
                      <w:sz w:val="21"/>
                      <w:szCs w:val="21"/>
                      <w:lang w:val="en-US" w:eastAsia="zh-CN"/>
                    </w:rPr>
                    <w:t>暂存于危废暂存间，定期交由有资质单位处置。</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以新带老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45" w:type="pct"/>
                  <w:vMerge w:val="restar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公用工程</w:t>
                  </w: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供水</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办公生活用水由</w:t>
                  </w:r>
                  <w:r>
                    <w:rPr>
                      <w:rFonts w:hint="default" w:ascii="Times New Roman" w:hAnsi="Times New Roman" w:cs="Times New Roman"/>
                      <w:bCs/>
                      <w:color w:val="auto"/>
                      <w:sz w:val="21"/>
                      <w:szCs w:val="21"/>
                    </w:rPr>
                    <w:t>园区供水管网</w:t>
                  </w:r>
                  <w:r>
                    <w:rPr>
                      <w:rFonts w:hint="default" w:ascii="Times New Roman" w:hAnsi="Times New Roman" w:cs="Times New Roman"/>
                      <w:bCs/>
                      <w:color w:val="auto"/>
                      <w:sz w:val="21"/>
                      <w:szCs w:val="21"/>
                      <w:lang w:val="en-US" w:eastAsia="zh-CN"/>
                    </w:rPr>
                    <w:t>提供，生产用水取用地下水。</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依托</w:t>
                  </w:r>
                  <w:r>
                    <w:rPr>
                      <w:rFonts w:hint="default" w:ascii="Times New Roman" w:hAnsi="Times New Roman" w:cs="Times New Roman"/>
                      <w:bCs/>
                      <w:color w:val="auto"/>
                      <w:sz w:val="21"/>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供电</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园区电网</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依托</w:t>
                  </w:r>
                  <w:r>
                    <w:rPr>
                      <w:rFonts w:hint="default" w:ascii="Times New Roman" w:hAnsi="Times New Roman" w:cs="Times New Roman"/>
                      <w:bCs/>
                      <w:color w:val="auto"/>
                      <w:sz w:val="21"/>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供热</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塑料熔融、拉丝工序均为电加热</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依托</w:t>
                  </w:r>
                  <w:r>
                    <w:rPr>
                      <w:rFonts w:hint="default" w:ascii="Times New Roman" w:hAnsi="Times New Roman" w:cs="Times New Roman"/>
                      <w:bCs/>
                      <w:color w:val="auto"/>
                      <w:sz w:val="21"/>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排水</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厂区排水为雨污分流制，雨水排入园区市政雨水管网。</w:t>
                  </w:r>
                  <w:r>
                    <w:rPr>
                      <w:rFonts w:hint="default" w:ascii="Times New Roman" w:hAnsi="Times New Roman" w:cs="Times New Roman"/>
                      <w:bCs/>
                      <w:color w:val="auto"/>
                      <w:sz w:val="21"/>
                      <w:szCs w:val="21"/>
                      <w:lang w:val="en-US" w:eastAsia="zh-CN"/>
                    </w:rPr>
                    <w:t>生产废水经自建3000m</w:t>
                  </w:r>
                  <w:r>
                    <w:rPr>
                      <w:rFonts w:hint="default" w:ascii="Times New Roman" w:hAnsi="Times New Roman" w:cs="Times New Roman"/>
                      <w:bCs/>
                      <w:color w:val="auto"/>
                      <w:sz w:val="21"/>
                      <w:szCs w:val="21"/>
                      <w:vertAlign w:val="superscript"/>
                      <w:lang w:val="en-US" w:eastAsia="zh-CN"/>
                    </w:rPr>
                    <w:t>3</w:t>
                  </w:r>
                  <w:r>
                    <w:rPr>
                      <w:rFonts w:hint="default" w:ascii="Times New Roman" w:hAnsi="Times New Roman" w:cs="Times New Roman"/>
                      <w:bCs/>
                      <w:color w:val="auto"/>
                      <w:sz w:val="21"/>
                      <w:szCs w:val="21"/>
                      <w:lang w:val="en-US" w:eastAsia="zh-CN"/>
                    </w:rPr>
                    <w:t>/d污水处理站处理后外排</w:t>
                  </w:r>
                  <w:r>
                    <w:rPr>
                      <w:rFonts w:hint="default" w:ascii="Times New Roman" w:hAnsi="Times New Roman" w:cs="Times New Roman"/>
                      <w:bCs/>
                      <w:color w:val="auto"/>
                      <w:sz w:val="21"/>
                      <w:szCs w:val="21"/>
                    </w:rPr>
                    <w:t>本项目不涉及新增废水排放量。</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依托</w:t>
                  </w:r>
                  <w:r>
                    <w:rPr>
                      <w:rFonts w:hint="default" w:ascii="Times New Roman" w:hAnsi="Times New Roman" w:cs="Times New Roman"/>
                      <w:bCs/>
                      <w:color w:val="auto"/>
                      <w:sz w:val="21"/>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restar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办公及生活设施</w:t>
                  </w: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办公楼</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位于厂区北侧，</w:t>
                  </w:r>
                  <w:r>
                    <w:rPr>
                      <w:rFonts w:hint="default" w:ascii="Times New Roman" w:hAnsi="Times New Roman" w:cs="Times New Roman"/>
                      <w:bCs/>
                      <w:color w:val="auto"/>
                      <w:sz w:val="21"/>
                      <w:szCs w:val="21"/>
                    </w:rPr>
                    <w:t>2F砖混结构，建筑面积546.28m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，本次技改不新增劳动定员。</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生活污水、生活垃圾</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依托</w:t>
                  </w:r>
                  <w:r>
                    <w:rPr>
                      <w:rFonts w:hint="default" w:ascii="Times New Roman" w:hAnsi="Times New Roman" w:cs="Times New Roman"/>
                      <w:bCs/>
                      <w:color w:val="auto"/>
                      <w:sz w:val="21"/>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宿舍楼</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位于厂区北侧，</w:t>
                  </w:r>
                  <w:r>
                    <w:rPr>
                      <w:rFonts w:hint="default" w:ascii="Times New Roman" w:hAnsi="Times New Roman" w:cs="Times New Roman"/>
                      <w:bCs/>
                      <w:color w:val="auto"/>
                      <w:sz w:val="21"/>
                      <w:szCs w:val="21"/>
                    </w:rPr>
                    <w:t>2F砖混结构，面积约555.52m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，用于员工倒班休息。</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生活垃圾、生活污水、油烟、食堂废水</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依托</w:t>
                  </w:r>
                  <w:r>
                    <w:rPr>
                      <w:rFonts w:hint="default" w:ascii="Times New Roman" w:hAnsi="Times New Roman" w:cs="Times New Roman"/>
                      <w:bCs/>
                      <w:color w:val="auto"/>
                      <w:sz w:val="21"/>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0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门卫室</w:t>
                  </w:r>
                </w:p>
              </w:tc>
              <w:tc>
                <w:tcPr>
                  <w:tcW w:w="1812"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位于厂区门口</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砖混结构，面积约17.82m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w:t>
                  </w:r>
                </w:p>
              </w:tc>
              <w:tc>
                <w:tcPr>
                  <w:tcW w:w="716" w:type="pct"/>
                  <w:vMerge w:val="continue"/>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p>
              </w:tc>
              <w:tc>
                <w:tcPr>
                  <w:tcW w:w="841"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生活垃圾</w:t>
                  </w:r>
                </w:p>
              </w:tc>
              <w:tc>
                <w:tcPr>
                  <w:tcW w:w="483" w:type="pct"/>
                  <w:noWrap w:val="0"/>
                  <w:vAlign w:val="center"/>
                </w:tcPr>
                <w:p>
                  <w:pPr>
                    <w:pStyle w:val="25"/>
                    <w:widowControl/>
                    <w:spacing w:before="0" w:beforeAutospacing="0" w:after="0" w:afterAutospacing="0"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依托</w:t>
                  </w:r>
                  <w:r>
                    <w:rPr>
                      <w:rFonts w:hint="default" w:ascii="Times New Roman" w:hAnsi="Times New Roman" w:cs="Times New Roman"/>
                      <w:bCs/>
                      <w:color w:val="auto"/>
                      <w:sz w:val="21"/>
                      <w:szCs w:val="21"/>
                    </w:rPr>
                    <w:t>现有</w:t>
                  </w:r>
                </w:p>
              </w:tc>
            </w:tr>
          </w:tbl>
          <w:p>
            <w:pPr>
              <w:pStyle w:val="71"/>
              <w:spacing w:before="0" w:beforeLines="0" w:line="360" w:lineRule="auto"/>
              <w:ind w:left="0" w:leftChars="0" w:firstLine="0" w:firstLineChars="0"/>
              <w:rPr>
                <w:color w:val="auto"/>
                <w:sz w:val="24"/>
                <w:szCs w:val="24"/>
              </w:rPr>
            </w:pPr>
            <w:r>
              <w:rPr>
                <w:color w:val="auto"/>
                <w:sz w:val="24"/>
                <w:szCs w:val="24"/>
              </w:rPr>
              <w:t>四</w:t>
            </w:r>
            <w:r>
              <w:rPr>
                <w:rFonts w:hint="eastAsia"/>
                <w:color w:val="auto"/>
                <w:sz w:val="24"/>
                <w:szCs w:val="24"/>
                <w:lang w:eastAsia="zh-CN"/>
              </w:rPr>
              <w:t>、</w:t>
            </w:r>
            <w:r>
              <w:rPr>
                <w:color w:val="auto"/>
                <w:sz w:val="24"/>
                <w:szCs w:val="24"/>
              </w:rPr>
              <w:t>项目营运期主要原辅材料及能源消耗</w:t>
            </w:r>
          </w:p>
          <w:p>
            <w:pPr>
              <w:spacing w:line="360" w:lineRule="auto"/>
              <w:ind w:firstLine="480" w:firstLineChars="200"/>
              <w:rPr>
                <w:color w:val="auto"/>
                <w:sz w:val="24"/>
                <w:szCs w:val="24"/>
              </w:rPr>
            </w:pPr>
            <w:r>
              <w:rPr>
                <w:rFonts w:hint="eastAsia"/>
                <w:color w:val="auto"/>
                <w:sz w:val="24"/>
                <w:szCs w:val="24"/>
                <w:lang w:eastAsia="zh-CN"/>
              </w:rPr>
              <w:t>本</w:t>
            </w:r>
            <w:r>
              <w:rPr>
                <w:color w:val="auto"/>
                <w:sz w:val="24"/>
                <w:szCs w:val="24"/>
              </w:rPr>
              <w:t>项目</w:t>
            </w:r>
            <w:r>
              <w:rPr>
                <w:rFonts w:hint="eastAsia"/>
                <w:color w:val="auto"/>
                <w:sz w:val="24"/>
                <w:szCs w:val="24"/>
                <w:lang w:eastAsia="zh-CN"/>
              </w:rPr>
              <w:t>技改</w:t>
            </w:r>
            <w:r>
              <w:rPr>
                <w:color w:val="auto"/>
                <w:sz w:val="24"/>
                <w:szCs w:val="24"/>
              </w:rPr>
              <w:t>前后的原辅材料变化情况表如下：</w:t>
            </w:r>
          </w:p>
          <w:p>
            <w:pPr>
              <w:pStyle w:val="72"/>
              <w:spacing w:after="0" w:afterLines="0" w:line="240" w:lineRule="auto"/>
              <w:ind w:firstLine="0" w:firstLineChars="0"/>
              <w:jc w:val="center"/>
              <w:rPr>
                <w:color w:val="auto"/>
                <w:szCs w:val="21"/>
              </w:rPr>
            </w:pPr>
            <w:r>
              <w:rPr>
                <w:color w:val="auto"/>
                <w:szCs w:val="21"/>
              </w:rPr>
              <w:t>表2-</w:t>
            </w:r>
            <w:r>
              <w:rPr>
                <w:rFonts w:hint="eastAsia"/>
                <w:color w:val="auto"/>
                <w:szCs w:val="21"/>
                <w:lang w:val="en-US" w:eastAsia="zh-CN"/>
              </w:rPr>
              <w:t>4</w:t>
            </w:r>
            <w:r>
              <w:rPr>
                <w:color w:val="auto"/>
                <w:szCs w:val="21"/>
              </w:rPr>
              <w:t xml:space="preserve"> 项目</w:t>
            </w:r>
            <w:r>
              <w:rPr>
                <w:rFonts w:hint="eastAsia"/>
                <w:color w:val="auto"/>
                <w:szCs w:val="21"/>
                <w:lang w:eastAsia="zh-CN"/>
              </w:rPr>
              <w:t>技改</w:t>
            </w:r>
            <w:r>
              <w:rPr>
                <w:color w:val="auto"/>
                <w:szCs w:val="21"/>
              </w:rPr>
              <w:t>前后全厂</w:t>
            </w:r>
            <w:r>
              <w:rPr>
                <w:rFonts w:hint="eastAsia"/>
                <w:color w:val="auto"/>
                <w:szCs w:val="21"/>
              </w:rPr>
              <w:t>主要</w:t>
            </w:r>
            <w:r>
              <w:rPr>
                <w:color w:val="auto"/>
                <w:szCs w:val="21"/>
              </w:rPr>
              <w:t>原辅材料变化情况表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721"/>
              <w:gridCol w:w="1383"/>
              <w:gridCol w:w="1469"/>
              <w:gridCol w:w="1504"/>
              <w:gridCol w:w="14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84"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项目</w:t>
                  </w:r>
                </w:p>
              </w:tc>
              <w:tc>
                <w:tcPr>
                  <w:tcW w:w="1025"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名称</w:t>
                  </w:r>
                </w:p>
              </w:tc>
              <w:tc>
                <w:tcPr>
                  <w:tcW w:w="824" w:type="pct"/>
                  <w:shd w:val="clear" w:color="auto" w:fill="DCE6F2"/>
                  <w:noWrap w:val="0"/>
                  <w:vAlign w:val="center"/>
                </w:tcPr>
                <w:p>
                  <w:pPr>
                    <w:widowControl/>
                    <w:spacing w:line="240" w:lineRule="auto"/>
                    <w:jc w:val="center"/>
                    <w:rPr>
                      <w:rFonts w:hint="eastAsia"/>
                      <w:b/>
                      <w:bCs/>
                      <w:color w:val="auto"/>
                      <w:kern w:val="0"/>
                      <w:sz w:val="21"/>
                      <w:szCs w:val="21"/>
                    </w:rPr>
                  </w:pPr>
                  <w:r>
                    <w:rPr>
                      <w:rFonts w:hint="eastAsia"/>
                      <w:b/>
                      <w:bCs/>
                      <w:color w:val="auto"/>
                      <w:kern w:val="0"/>
                      <w:sz w:val="21"/>
                      <w:szCs w:val="21"/>
                    </w:rPr>
                    <w:t>现有工程</w:t>
                  </w:r>
                </w:p>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年用量</w:t>
                  </w:r>
                </w:p>
              </w:tc>
              <w:tc>
                <w:tcPr>
                  <w:tcW w:w="875"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hint="eastAsia" w:ascii="Times New Roman" w:hAnsi="Times New Roman"/>
                      <w:b/>
                      <w:bCs/>
                      <w:color w:val="auto"/>
                      <w:kern w:val="0"/>
                      <w:sz w:val="21"/>
                      <w:szCs w:val="21"/>
                      <w:lang w:val="en-US" w:eastAsia="zh-CN"/>
                    </w:rPr>
                    <w:t>变化</w:t>
                  </w:r>
                  <w:r>
                    <w:rPr>
                      <w:rFonts w:ascii="Times New Roman" w:hAnsi="Times New Roman"/>
                      <w:b/>
                      <w:bCs/>
                      <w:color w:val="auto"/>
                      <w:kern w:val="0"/>
                      <w:sz w:val="21"/>
                      <w:szCs w:val="21"/>
                    </w:rPr>
                    <w:t>量</w:t>
                  </w:r>
                </w:p>
              </w:tc>
              <w:tc>
                <w:tcPr>
                  <w:tcW w:w="896"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hint="eastAsia"/>
                      <w:b/>
                      <w:bCs/>
                      <w:color w:val="auto"/>
                      <w:kern w:val="0"/>
                      <w:sz w:val="21"/>
                      <w:szCs w:val="21"/>
                      <w:lang w:val="en-US" w:eastAsia="zh-CN"/>
                    </w:rPr>
                    <w:t>技改</w:t>
                  </w:r>
                  <w:r>
                    <w:rPr>
                      <w:rFonts w:hint="eastAsia"/>
                      <w:b/>
                      <w:bCs/>
                      <w:color w:val="auto"/>
                      <w:kern w:val="0"/>
                      <w:sz w:val="21"/>
                      <w:szCs w:val="21"/>
                    </w:rPr>
                    <w:t>后全厂</w:t>
                  </w:r>
                  <w:r>
                    <w:rPr>
                      <w:rFonts w:ascii="Times New Roman" w:hAnsi="Times New Roman"/>
                      <w:b/>
                      <w:bCs/>
                      <w:color w:val="auto"/>
                      <w:kern w:val="0"/>
                      <w:sz w:val="21"/>
                      <w:szCs w:val="21"/>
                    </w:rPr>
                    <w:t>总年用量</w:t>
                  </w:r>
                </w:p>
              </w:tc>
              <w:tc>
                <w:tcPr>
                  <w:tcW w:w="893"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84"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塑料</w:t>
                  </w:r>
                  <w:r>
                    <w:rPr>
                      <w:rFonts w:hint="eastAsia" w:ascii="Times New Roman" w:hAnsi="Times New Roman"/>
                      <w:color w:val="auto"/>
                      <w:kern w:val="0"/>
                      <w:sz w:val="21"/>
                      <w:szCs w:val="21"/>
                      <w:lang w:val="en-US" w:eastAsia="zh-CN"/>
                    </w:rPr>
                    <w:t>颗粒</w:t>
                  </w:r>
                  <w:r>
                    <w:rPr>
                      <w:rFonts w:hint="eastAsia" w:ascii="Times New Roman" w:hAnsi="Times New Roman"/>
                      <w:color w:val="auto"/>
                      <w:kern w:val="0"/>
                      <w:sz w:val="21"/>
                      <w:szCs w:val="21"/>
                    </w:rPr>
                    <w:t>加工</w:t>
                  </w:r>
                </w:p>
              </w:tc>
              <w:tc>
                <w:tcPr>
                  <w:tcW w:w="1025"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废</w:t>
                  </w:r>
                  <w:r>
                    <w:rPr>
                      <w:rFonts w:hint="eastAsia" w:ascii="Times New Roman" w:hAnsi="Times New Roman"/>
                      <w:color w:val="auto"/>
                      <w:kern w:val="0"/>
                      <w:sz w:val="21"/>
                      <w:szCs w:val="21"/>
                    </w:rPr>
                    <w:t>编织袋</w:t>
                  </w:r>
                  <w:r>
                    <w:rPr>
                      <w:rFonts w:hint="eastAsia" w:ascii="Times New Roman" w:hAnsi="Times New Roman"/>
                      <w:color w:val="auto"/>
                      <w:kern w:val="0"/>
                      <w:sz w:val="21"/>
                      <w:szCs w:val="21"/>
                      <w:vertAlign w:val="superscript"/>
                    </w:rPr>
                    <w:t>*</w:t>
                  </w:r>
                </w:p>
              </w:tc>
              <w:tc>
                <w:tcPr>
                  <w:tcW w:w="824"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14800</w:t>
                  </w:r>
                  <w:r>
                    <w:rPr>
                      <w:rFonts w:ascii="Times New Roman" w:hAnsi="Times New Roman"/>
                      <w:color w:val="auto"/>
                      <w:kern w:val="0"/>
                      <w:sz w:val="21"/>
                      <w:szCs w:val="21"/>
                    </w:rPr>
                    <w:t>t</w:t>
                  </w:r>
                </w:p>
              </w:tc>
              <w:tc>
                <w:tcPr>
                  <w:tcW w:w="875" w:type="pct"/>
                  <w:noWrap w:val="0"/>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rPr>
                    <w:t>-</w:t>
                  </w:r>
                  <w:r>
                    <w:rPr>
                      <w:rFonts w:hint="eastAsia" w:ascii="Times New Roman" w:hAnsi="Times New Roman"/>
                      <w:color w:val="auto"/>
                      <w:kern w:val="0"/>
                      <w:sz w:val="21"/>
                      <w:szCs w:val="21"/>
                      <w:lang w:val="en-US" w:eastAsia="zh-CN"/>
                    </w:rPr>
                    <w:t>5000t</w:t>
                  </w:r>
                </w:p>
              </w:tc>
              <w:tc>
                <w:tcPr>
                  <w:tcW w:w="896"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9800</w:t>
                  </w:r>
                  <w:r>
                    <w:rPr>
                      <w:rFonts w:ascii="Times New Roman" w:hAnsi="Times New Roman"/>
                      <w:color w:val="auto"/>
                      <w:kern w:val="0"/>
                      <w:sz w:val="21"/>
                      <w:szCs w:val="21"/>
                    </w:rPr>
                    <w:t>t</w:t>
                  </w:r>
                </w:p>
              </w:tc>
              <w:tc>
                <w:tcPr>
                  <w:tcW w:w="893"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PP</w:t>
                  </w:r>
                  <w:r>
                    <w:rPr>
                      <w:rFonts w:hint="eastAsia"/>
                      <w:color w:val="auto"/>
                      <w:kern w:val="0"/>
                      <w:sz w:val="21"/>
                      <w:szCs w:val="21"/>
                    </w:rPr>
                    <w:t>，用量削减</w:t>
                  </w:r>
                  <w:r>
                    <w:rPr>
                      <w:rFonts w:hint="eastAsia"/>
                      <w:color w:val="auto"/>
                      <w:kern w:val="0"/>
                      <w:sz w:val="21"/>
                      <w:szCs w:val="21"/>
                      <w:lang w:eastAsia="zh-CN"/>
                    </w:rPr>
                    <w:t>，</w:t>
                  </w:r>
                  <w:r>
                    <w:rPr>
                      <w:rFonts w:hint="eastAsia" w:ascii="Times New Roman" w:hAnsi="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84" w:type="pct"/>
                  <w:vMerge w:val="restart"/>
                  <w:noWrap w:val="0"/>
                  <w:vAlign w:val="center"/>
                </w:tcPr>
                <w:p>
                  <w:pPr>
                    <w:widowControl/>
                    <w:spacing w:line="240" w:lineRule="auto"/>
                    <w:jc w:val="center"/>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塑料丝生产线</w:t>
                  </w:r>
                </w:p>
              </w:tc>
              <w:tc>
                <w:tcPr>
                  <w:tcW w:w="1025" w:type="pct"/>
                  <w:noWrap w:val="0"/>
                  <w:vAlign w:val="center"/>
                </w:tcPr>
                <w:p>
                  <w:pPr>
                    <w:widowControl/>
                    <w:spacing w:line="240" w:lineRule="auto"/>
                    <w:jc w:val="center"/>
                    <w:rPr>
                      <w:rFonts w:hint="eastAsia" w:ascii="Times New Roman" w:hAnsi="Times New Roman"/>
                      <w:color w:val="auto"/>
                      <w:kern w:val="0"/>
                      <w:sz w:val="21"/>
                      <w:szCs w:val="21"/>
                      <w:highlight w:val="yellow"/>
                      <w:lang w:val="en-US" w:eastAsia="zh-CN"/>
                    </w:rPr>
                  </w:pPr>
                  <w:r>
                    <w:rPr>
                      <w:rFonts w:hint="eastAsia" w:ascii="Times New Roman" w:hAnsi="Times New Roman"/>
                      <w:color w:val="auto"/>
                      <w:kern w:val="0"/>
                      <w:sz w:val="21"/>
                      <w:szCs w:val="21"/>
                    </w:rPr>
                    <w:t>聚丙烯新料颗粒</w:t>
                  </w:r>
                </w:p>
              </w:tc>
              <w:tc>
                <w:tcPr>
                  <w:tcW w:w="824" w:type="pct"/>
                  <w:noWrap w:val="0"/>
                  <w:vAlign w:val="center"/>
                </w:tcPr>
                <w:p>
                  <w:pPr>
                    <w:widowControl/>
                    <w:spacing w:line="240" w:lineRule="auto"/>
                    <w:jc w:val="center"/>
                    <w:rPr>
                      <w:rFonts w:hint="eastAsia" w:ascii="Times New Roman" w:hAnsi="Times New Roman"/>
                      <w:color w:val="auto"/>
                      <w:kern w:val="0"/>
                      <w:sz w:val="21"/>
                      <w:szCs w:val="21"/>
                      <w:highlight w:val="yellow"/>
                      <w:lang w:val="en-US" w:eastAsia="zh-CN"/>
                    </w:rPr>
                  </w:pPr>
                  <w:r>
                    <w:rPr>
                      <w:rFonts w:hint="eastAsia"/>
                      <w:color w:val="auto"/>
                      <w:kern w:val="0"/>
                      <w:sz w:val="21"/>
                      <w:szCs w:val="21"/>
                    </w:rPr>
                    <w:t>390</w:t>
                  </w:r>
                  <w:r>
                    <w:rPr>
                      <w:rFonts w:hint="eastAsia" w:ascii="Times New Roman" w:hAnsi="Times New Roman"/>
                      <w:color w:val="auto"/>
                      <w:kern w:val="0"/>
                      <w:sz w:val="21"/>
                      <w:szCs w:val="21"/>
                    </w:rPr>
                    <w:t>t</w:t>
                  </w:r>
                </w:p>
              </w:tc>
              <w:tc>
                <w:tcPr>
                  <w:tcW w:w="875" w:type="pct"/>
                  <w:noWrap w:val="0"/>
                  <w:vAlign w:val="center"/>
                </w:tcPr>
                <w:p>
                  <w:pPr>
                    <w:widowControl/>
                    <w:spacing w:line="240" w:lineRule="auto"/>
                    <w:jc w:val="center"/>
                    <w:rPr>
                      <w:rFonts w:hint="eastAsia" w:ascii="Times New Roman" w:hAnsi="Times New Roman" w:eastAsia="宋体"/>
                      <w:color w:val="auto"/>
                      <w:kern w:val="0"/>
                      <w:sz w:val="21"/>
                      <w:szCs w:val="21"/>
                      <w:highlight w:val="yellow"/>
                      <w:lang w:val="en-US" w:eastAsia="zh-CN"/>
                    </w:rPr>
                  </w:pPr>
                  <w:r>
                    <w:rPr>
                      <w:rFonts w:hint="eastAsia" w:ascii="Times New Roman" w:hAnsi="Times New Roman"/>
                      <w:color w:val="auto"/>
                      <w:kern w:val="0"/>
                      <w:sz w:val="21"/>
                      <w:szCs w:val="21"/>
                      <w:lang w:val="en-US" w:eastAsia="zh-CN"/>
                    </w:rPr>
                    <w:t>+6500t</w:t>
                  </w:r>
                </w:p>
              </w:tc>
              <w:tc>
                <w:tcPr>
                  <w:tcW w:w="896" w:type="pct"/>
                  <w:noWrap w:val="0"/>
                  <w:vAlign w:val="center"/>
                </w:tcPr>
                <w:p>
                  <w:pPr>
                    <w:widowControl/>
                    <w:spacing w:line="240" w:lineRule="auto"/>
                    <w:jc w:val="center"/>
                    <w:rPr>
                      <w:rFonts w:hint="eastAsia" w:ascii="Times New Roman" w:hAnsi="Times New Roman"/>
                      <w:color w:val="auto"/>
                      <w:kern w:val="0"/>
                      <w:sz w:val="21"/>
                      <w:szCs w:val="21"/>
                      <w:highlight w:val="yellow"/>
                      <w:lang w:val="en-US" w:eastAsia="zh-CN"/>
                    </w:rPr>
                  </w:pPr>
                  <w:r>
                    <w:rPr>
                      <w:rFonts w:hint="eastAsia" w:ascii="Times New Roman" w:hAnsi="Times New Roman"/>
                      <w:color w:val="auto"/>
                      <w:kern w:val="0"/>
                      <w:sz w:val="21"/>
                      <w:szCs w:val="21"/>
                      <w:lang w:val="en-US" w:eastAsia="zh-CN"/>
                    </w:rPr>
                    <w:t>6890t</w:t>
                  </w:r>
                </w:p>
              </w:tc>
              <w:tc>
                <w:tcPr>
                  <w:tcW w:w="893"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4" w:type="pct"/>
                  <w:vMerge w:val="continue"/>
                  <w:noWrap w:val="0"/>
                  <w:vAlign w:val="center"/>
                </w:tcPr>
                <w:p>
                  <w:pPr>
                    <w:widowControl/>
                    <w:spacing w:line="240" w:lineRule="auto"/>
                    <w:jc w:val="center"/>
                    <w:rPr>
                      <w:rFonts w:hint="eastAsia" w:ascii="Times New Roman" w:hAnsi="Times New Roman"/>
                      <w:color w:val="auto"/>
                      <w:kern w:val="0"/>
                      <w:sz w:val="21"/>
                      <w:szCs w:val="21"/>
                      <w:lang w:val="en-US" w:eastAsia="zh-CN"/>
                    </w:rPr>
                  </w:pPr>
                </w:p>
              </w:tc>
              <w:tc>
                <w:tcPr>
                  <w:tcW w:w="1025" w:type="pct"/>
                  <w:noWrap w:val="0"/>
                  <w:vAlign w:val="center"/>
                </w:tcPr>
                <w:p>
                  <w:pPr>
                    <w:widowControl/>
                    <w:spacing w:line="240" w:lineRule="auto"/>
                    <w:jc w:val="center"/>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rPr>
                    <w:t>色母</w:t>
                  </w:r>
                </w:p>
              </w:tc>
              <w:tc>
                <w:tcPr>
                  <w:tcW w:w="824" w:type="pct"/>
                  <w:noWrap w:val="0"/>
                  <w:vAlign w:val="center"/>
                </w:tcPr>
                <w:p>
                  <w:pPr>
                    <w:widowControl/>
                    <w:spacing w:line="240" w:lineRule="auto"/>
                    <w:jc w:val="center"/>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rPr>
                    <w:t>4t</w:t>
                  </w:r>
                </w:p>
              </w:tc>
              <w:tc>
                <w:tcPr>
                  <w:tcW w:w="875" w:type="pct"/>
                  <w:noWrap w:val="0"/>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0</w:t>
                  </w:r>
                </w:p>
              </w:tc>
              <w:tc>
                <w:tcPr>
                  <w:tcW w:w="896" w:type="pct"/>
                  <w:noWrap w:val="0"/>
                  <w:vAlign w:val="center"/>
                </w:tcPr>
                <w:p>
                  <w:pPr>
                    <w:widowControl/>
                    <w:spacing w:line="240" w:lineRule="auto"/>
                    <w:jc w:val="center"/>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rPr>
                    <w:t>4t</w:t>
                  </w:r>
                </w:p>
              </w:tc>
              <w:tc>
                <w:tcPr>
                  <w:tcW w:w="893"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4" w:type="pct"/>
                  <w:noWrap w:val="0"/>
                  <w:vAlign w:val="center"/>
                </w:tcPr>
                <w:p>
                  <w:pPr>
                    <w:widowControl/>
                    <w:spacing w:line="240" w:lineRule="auto"/>
                    <w:jc w:val="center"/>
                    <w:rPr>
                      <w:rFonts w:hint="default" w:ascii="Times New Roman" w:hAnsi="Times New Roman" w:eastAsia="宋体"/>
                      <w:b/>
                      <w:bCs/>
                      <w:color w:val="auto"/>
                      <w:kern w:val="0"/>
                      <w:sz w:val="21"/>
                      <w:szCs w:val="21"/>
                      <w:lang w:val="en-US" w:eastAsia="zh-CN"/>
                    </w:rPr>
                  </w:pPr>
                  <w:r>
                    <w:rPr>
                      <w:rFonts w:hint="eastAsia" w:ascii="Times New Roman" w:hAnsi="Times New Roman"/>
                      <w:b/>
                      <w:bCs/>
                      <w:color w:val="auto"/>
                      <w:kern w:val="0"/>
                      <w:sz w:val="21"/>
                      <w:szCs w:val="21"/>
                      <w:lang w:val="en-US" w:eastAsia="zh-CN"/>
                    </w:rPr>
                    <w:t>圆织生产线</w:t>
                  </w:r>
                </w:p>
              </w:tc>
              <w:tc>
                <w:tcPr>
                  <w:tcW w:w="1025" w:type="pct"/>
                  <w:noWrap w:val="0"/>
                  <w:vAlign w:val="center"/>
                </w:tcPr>
                <w:p>
                  <w:pPr>
                    <w:widowControl/>
                    <w:spacing w:line="240" w:lineRule="auto"/>
                    <w:jc w:val="center"/>
                    <w:rPr>
                      <w:rFonts w:hint="eastAsia" w:ascii="Times New Roman" w:hAnsi="Times New Roman" w:eastAsia="宋体"/>
                      <w:b/>
                      <w:bCs/>
                      <w:color w:val="auto"/>
                      <w:kern w:val="0"/>
                      <w:sz w:val="21"/>
                      <w:szCs w:val="21"/>
                      <w:lang w:val="en-US" w:eastAsia="zh-CN"/>
                    </w:rPr>
                  </w:pPr>
                  <w:r>
                    <w:rPr>
                      <w:rFonts w:hint="eastAsia" w:ascii="Times New Roman" w:hAnsi="Times New Roman"/>
                      <w:b/>
                      <w:bCs/>
                      <w:color w:val="auto"/>
                      <w:kern w:val="0"/>
                      <w:sz w:val="21"/>
                      <w:szCs w:val="21"/>
                      <w:lang w:val="en-US" w:eastAsia="zh-CN"/>
                    </w:rPr>
                    <w:t>塑料丝</w:t>
                  </w:r>
                </w:p>
              </w:tc>
              <w:tc>
                <w:tcPr>
                  <w:tcW w:w="824" w:type="pct"/>
                  <w:noWrap w:val="0"/>
                  <w:vAlign w:val="center"/>
                </w:tcPr>
                <w:p>
                  <w:pPr>
                    <w:widowControl/>
                    <w:spacing w:line="240" w:lineRule="auto"/>
                    <w:jc w:val="center"/>
                    <w:rPr>
                      <w:rFonts w:hint="default" w:ascii="Times New Roman" w:hAnsi="Times New Roman" w:eastAsia="宋体"/>
                      <w:b/>
                      <w:bCs/>
                      <w:color w:val="auto"/>
                      <w:kern w:val="0"/>
                      <w:sz w:val="21"/>
                      <w:szCs w:val="21"/>
                      <w:lang w:val="en-US" w:eastAsia="zh-CN"/>
                    </w:rPr>
                  </w:pPr>
                  <w:r>
                    <w:rPr>
                      <w:rFonts w:hint="eastAsia" w:ascii="Times New Roman" w:hAnsi="Times New Roman"/>
                      <w:b/>
                      <w:bCs/>
                      <w:color w:val="auto"/>
                      <w:kern w:val="0"/>
                      <w:sz w:val="21"/>
                      <w:szCs w:val="21"/>
                      <w:lang w:val="en-US" w:eastAsia="zh-CN"/>
                    </w:rPr>
                    <w:t>0</w:t>
                  </w:r>
                </w:p>
              </w:tc>
              <w:tc>
                <w:tcPr>
                  <w:tcW w:w="875" w:type="pct"/>
                  <w:noWrap w:val="0"/>
                  <w:vAlign w:val="center"/>
                </w:tcPr>
                <w:p>
                  <w:pPr>
                    <w:widowControl/>
                    <w:spacing w:line="240" w:lineRule="auto"/>
                    <w:jc w:val="center"/>
                    <w:rPr>
                      <w:rFonts w:hint="default" w:ascii="Times New Roman" w:hAnsi="Times New Roman" w:eastAsia="宋体"/>
                      <w:b/>
                      <w:bCs/>
                      <w:color w:val="auto"/>
                      <w:kern w:val="0"/>
                      <w:sz w:val="21"/>
                      <w:szCs w:val="21"/>
                      <w:lang w:val="en-US" w:eastAsia="zh-CN"/>
                    </w:rPr>
                  </w:pPr>
                  <w:r>
                    <w:rPr>
                      <w:rFonts w:hint="eastAsia" w:ascii="Times New Roman" w:hAnsi="Times New Roman"/>
                      <w:b/>
                      <w:bCs/>
                      <w:color w:val="auto"/>
                      <w:kern w:val="0"/>
                      <w:sz w:val="21"/>
                      <w:szCs w:val="21"/>
                      <w:lang w:val="en-US" w:eastAsia="zh-CN"/>
                    </w:rPr>
                    <w:t>+6500t</w:t>
                  </w:r>
                </w:p>
              </w:tc>
              <w:tc>
                <w:tcPr>
                  <w:tcW w:w="896" w:type="pct"/>
                  <w:noWrap w:val="0"/>
                  <w:vAlign w:val="center"/>
                </w:tcPr>
                <w:p>
                  <w:pPr>
                    <w:widowControl/>
                    <w:spacing w:line="240" w:lineRule="auto"/>
                    <w:jc w:val="center"/>
                    <w:rPr>
                      <w:rFonts w:hint="eastAsia" w:ascii="Times New Roman" w:hAnsi="Times New Roman"/>
                      <w:b/>
                      <w:bCs/>
                      <w:color w:val="auto"/>
                      <w:kern w:val="0"/>
                      <w:sz w:val="21"/>
                      <w:szCs w:val="21"/>
                    </w:rPr>
                  </w:pPr>
                  <w:r>
                    <w:rPr>
                      <w:rFonts w:hint="eastAsia" w:ascii="Times New Roman" w:hAnsi="Times New Roman"/>
                      <w:b/>
                      <w:bCs/>
                      <w:color w:val="auto"/>
                      <w:kern w:val="0"/>
                      <w:sz w:val="21"/>
                      <w:szCs w:val="21"/>
                      <w:lang w:val="en-US" w:eastAsia="zh-CN"/>
                    </w:rPr>
                    <w:t>6500t</w:t>
                  </w:r>
                </w:p>
              </w:tc>
              <w:tc>
                <w:tcPr>
                  <w:tcW w:w="893" w:type="pct"/>
                  <w:noWrap w:val="0"/>
                  <w:vAlign w:val="center"/>
                </w:tcPr>
                <w:p>
                  <w:pPr>
                    <w:widowControl/>
                    <w:spacing w:line="240" w:lineRule="auto"/>
                    <w:jc w:val="center"/>
                    <w:rPr>
                      <w:rFonts w:hint="default" w:ascii="Times New Roman" w:hAnsi="Times New Roman" w:eastAsia="宋体"/>
                      <w:b/>
                      <w:bCs/>
                      <w:color w:val="auto"/>
                      <w:kern w:val="0"/>
                      <w:sz w:val="21"/>
                      <w:szCs w:val="21"/>
                      <w:lang w:val="en-US" w:eastAsia="zh-CN"/>
                    </w:rPr>
                  </w:pPr>
                  <w:r>
                    <w:rPr>
                      <w:rFonts w:hint="eastAsia" w:ascii="Times New Roman" w:hAnsi="Times New Roman"/>
                      <w:b/>
                      <w:bCs/>
                      <w:color w:val="auto"/>
                      <w:kern w:val="0"/>
                      <w:sz w:val="21"/>
                      <w:szCs w:val="21"/>
                      <w:lang w:val="en-US" w:eastAsia="zh-CN"/>
                    </w:rPr>
                    <w:t>来源于本公司塑料丝生产线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84"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其他</w:t>
                  </w:r>
                  <w:r>
                    <w:rPr>
                      <w:color w:val="auto"/>
                      <w:sz w:val="21"/>
                      <w:szCs w:val="21"/>
                    </w:rPr>
                    <w:t>原辅材料</w:t>
                  </w:r>
                </w:p>
              </w:tc>
              <w:tc>
                <w:tcPr>
                  <w:tcW w:w="1025"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机油</w:t>
                  </w:r>
                </w:p>
              </w:tc>
              <w:tc>
                <w:tcPr>
                  <w:tcW w:w="824"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1.5</w:t>
                  </w:r>
                  <w:r>
                    <w:rPr>
                      <w:rFonts w:ascii="Times New Roman" w:hAnsi="Times New Roman"/>
                      <w:color w:val="auto"/>
                      <w:kern w:val="0"/>
                      <w:sz w:val="21"/>
                      <w:szCs w:val="21"/>
                    </w:rPr>
                    <w:t>t</w:t>
                  </w:r>
                </w:p>
              </w:tc>
              <w:tc>
                <w:tcPr>
                  <w:tcW w:w="875" w:type="pct"/>
                  <w:noWrap w:val="0"/>
                  <w:vAlign w:val="center"/>
                </w:tcPr>
                <w:p>
                  <w:pPr>
                    <w:widowControl/>
                    <w:spacing w:line="240" w:lineRule="auto"/>
                    <w:jc w:val="center"/>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+0.5t</w:t>
                  </w:r>
                </w:p>
              </w:tc>
              <w:tc>
                <w:tcPr>
                  <w:tcW w:w="896"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2</w:t>
                  </w:r>
                  <w:r>
                    <w:rPr>
                      <w:rFonts w:ascii="Times New Roman" w:hAnsi="Times New Roman"/>
                      <w:color w:val="auto"/>
                      <w:kern w:val="0"/>
                      <w:sz w:val="21"/>
                      <w:szCs w:val="21"/>
                    </w:rPr>
                    <w:t>t</w:t>
                  </w:r>
                </w:p>
              </w:tc>
              <w:tc>
                <w:tcPr>
                  <w:tcW w:w="893"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84" w:type="pct"/>
                  <w:vMerge w:val="restar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治理有机废气</w:t>
                  </w:r>
                </w:p>
              </w:tc>
              <w:tc>
                <w:tcPr>
                  <w:tcW w:w="1025"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UV灯管</w:t>
                  </w:r>
                </w:p>
              </w:tc>
              <w:tc>
                <w:tcPr>
                  <w:tcW w:w="824"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80根</w:t>
                  </w:r>
                </w:p>
              </w:tc>
              <w:tc>
                <w:tcPr>
                  <w:tcW w:w="875" w:type="pct"/>
                  <w:noWrap w:val="0"/>
                  <w:vAlign w:val="center"/>
                </w:tcPr>
                <w:p>
                  <w:pPr>
                    <w:widowControl/>
                    <w:spacing w:line="240" w:lineRule="auto"/>
                    <w:jc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val="en-US" w:eastAsia="zh-CN"/>
                    </w:rPr>
                    <w:t>0</w:t>
                  </w:r>
                </w:p>
              </w:tc>
              <w:tc>
                <w:tcPr>
                  <w:tcW w:w="896"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80根</w:t>
                  </w:r>
                </w:p>
              </w:tc>
              <w:tc>
                <w:tcPr>
                  <w:tcW w:w="893"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4" w:type="pct"/>
                  <w:vMerge w:val="continue"/>
                  <w:noWrap w:val="0"/>
                  <w:vAlign w:val="center"/>
                </w:tcPr>
                <w:p>
                  <w:pPr>
                    <w:widowControl/>
                    <w:spacing w:line="240" w:lineRule="auto"/>
                    <w:jc w:val="center"/>
                    <w:rPr>
                      <w:rFonts w:ascii="Times New Roman" w:hAnsi="Times New Roman"/>
                      <w:color w:val="auto"/>
                      <w:kern w:val="0"/>
                      <w:sz w:val="21"/>
                      <w:szCs w:val="21"/>
                    </w:rPr>
                  </w:pPr>
                </w:p>
              </w:tc>
              <w:tc>
                <w:tcPr>
                  <w:tcW w:w="1025" w:type="pct"/>
                  <w:noWrap w:val="0"/>
                  <w:vAlign w:val="center"/>
                </w:tcPr>
                <w:p>
                  <w:pPr>
                    <w:widowControl/>
                    <w:spacing w:line="240" w:lineRule="auto"/>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活性炭</w:t>
                  </w:r>
                </w:p>
              </w:tc>
              <w:tc>
                <w:tcPr>
                  <w:tcW w:w="824" w:type="pct"/>
                  <w:noWrap w:val="0"/>
                  <w:vAlign w:val="center"/>
                </w:tcPr>
                <w:p>
                  <w:pPr>
                    <w:widowControl/>
                    <w:spacing w:line="240" w:lineRule="auto"/>
                    <w:jc w:val="center"/>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14.58</w:t>
                  </w:r>
                  <w:r>
                    <w:rPr>
                      <w:rFonts w:hint="eastAsia" w:ascii="Times New Roman" w:hAnsi="Times New Roman"/>
                      <w:color w:val="auto"/>
                      <w:kern w:val="0"/>
                      <w:sz w:val="21"/>
                      <w:szCs w:val="21"/>
                      <w:highlight w:val="none"/>
                    </w:rPr>
                    <w:t>t</w:t>
                  </w:r>
                </w:p>
              </w:tc>
              <w:tc>
                <w:tcPr>
                  <w:tcW w:w="875" w:type="pct"/>
                  <w:noWrap w:val="0"/>
                  <w:vAlign w:val="center"/>
                </w:tcPr>
                <w:p>
                  <w:pPr>
                    <w:widowControl/>
                    <w:spacing w:line="240" w:lineRule="auto"/>
                    <w:jc w:val="center"/>
                    <w:rPr>
                      <w:rFonts w:hint="default"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-2.18</w:t>
                  </w:r>
                </w:p>
              </w:tc>
              <w:tc>
                <w:tcPr>
                  <w:tcW w:w="896" w:type="pct"/>
                  <w:noWrap w:val="0"/>
                  <w:vAlign w:val="center"/>
                </w:tcPr>
                <w:p>
                  <w:pPr>
                    <w:widowControl/>
                    <w:spacing w:line="240" w:lineRule="auto"/>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12.40</w:t>
                  </w:r>
                  <w:r>
                    <w:rPr>
                      <w:rFonts w:hint="eastAsia" w:ascii="Times New Roman" w:hAnsi="Times New Roman"/>
                      <w:color w:val="auto"/>
                      <w:kern w:val="0"/>
                      <w:sz w:val="21"/>
                      <w:szCs w:val="21"/>
                      <w:highlight w:val="none"/>
                    </w:rPr>
                    <w:t>t</w:t>
                  </w:r>
                </w:p>
              </w:tc>
              <w:tc>
                <w:tcPr>
                  <w:tcW w:w="893"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84" w:type="pct"/>
                  <w:vMerge w:val="restar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能耗</w:t>
                  </w:r>
                </w:p>
              </w:tc>
              <w:tc>
                <w:tcPr>
                  <w:tcW w:w="1025"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电</w:t>
                  </w:r>
                </w:p>
              </w:tc>
              <w:tc>
                <w:tcPr>
                  <w:tcW w:w="824"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hint="eastAsia" w:ascii="Times New Roman" w:hAnsi="Times New Roman"/>
                      <w:color w:val="auto"/>
                      <w:kern w:val="0"/>
                      <w:sz w:val="21"/>
                      <w:szCs w:val="21"/>
                      <w:lang w:val="en-US" w:eastAsia="zh-CN"/>
                    </w:rPr>
                    <w:t>0</w:t>
                  </w:r>
                  <w:r>
                    <w:rPr>
                      <w:rFonts w:ascii="Times New Roman" w:hAnsi="Times New Roman"/>
                      <w:color w:val="auto"/>
                      <w:kern w:val="0"/>
                      <w:sz w:val="21"/>
                      <w:szCs w:val="21"/>
                    </w:rPr>
                    <w:t>万Kw·h</w:t>
                  </w:r>
                </w:p>
              </w:tc>
              <w:tc>
                <w:tcPr>
                  <w:tcW w:w="875" w:type="pct"/>
                  <w:noWrap w:val="0"/>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+10万</w:t>
                  </w:r>
                  <w:r>
                    <w:rPr>
                      <w:rFonts w:ascii="Times New Roman" w:hAnsi="Times New Roman"/>
                      <w:color w:val="auto"/>
                      <w:kern w:val="0"/>
                      <w:sz w:val="21"/>
                      <w:szCs w:val="21"/>
                    </w:rPr>
                    <w:t>Kw·h</w:t>
                  </w:r>
                </w:p>
              </w:tc>
              <w:tc>
                <w:tcPr>
                  <w:tcW w:w="896"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3</w:t>
                  </w:r>
                  <w:r>
                    <w:rPr>
                      <w:rFonts w:hint="eastAsia" w:ascii="Times New Roman" w:hAnsi="Times New Roman"/>
                      <w:color w:val="auto"/>
                      <w:kern w:val="0"/>
                      <w:sz w:val="21"/>
                      <w:szCs w:val="21"/>
                    </w:rPr>
                    <w:t>0</w:t>
                  </w:r>
                  <w:r>
                    <w:rPr>
                      <w:rFonts w:ascii="Times New Roman" w:hAnsi="Times New Roman"/>
                      <w:color w:val="auto"/>
                      <w:kern w:val="0"/>
                      <w:sz w:val="21"/>
                      <w:szCs w:val="21"/>
                    </w:rPr>
                    <w:t>万Kw·h</w:t>
                  </w:r>
                </w:p>
              </w:tc>
              <w:tc>
                <w:tcPr>
                  <w:tcW w:w="893"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园区电网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84" w:type="pct"/>
                  <w:vMerge w:val="continue"/>
                  <w:noWrap w:val="0"/>
                  <w:vAlign w:val="center"/>
                </w:tcPr>
                <w:p>
                  <w:pPr>
                    <w:widowControl/>
                    <w:spacing w:line="240" w:lineRule="auto"/>
                    <w:jc w:val="center"/>
                    <w:rPr>
                      <w:rFonts w:ascii="Times New Roman" w:hAnsi="Times New Roman"/>
                      <w:color w:val="auto"/>
                      <w:kern w:val="0"/>
                      <w:sz w:val="21"/>
                      <w:szCs w:val="21"/>
                    </w:rPr>
                  </w:pPr>
                </w:p>
              </w:tc>
              <w:tc>
                <w:tcPr>
                  <w:tcW w:w="1025"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生产用</w:t>
                  </w:r>
                  <w:r>
                    <w:rPr>
                      <w:rFonts w:ascii="Times New Roman" w:hAnsi="Times New Roman"/>
                      <w:color w:val="auto"/>
                      <w:kern w:val="0"/>
                      <w:sz w:val="21"/>
                      <w:szCs w:val="21"/>
                    </w:rPr>
                    <w:t>水</w:t>
                  </w:r>
                </w:p>
              </w:tc>
              <w:tc>
                <w:tcPr>
                  <w:tcW w:w="824"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eastAsia="宋体" w:cs="Times New Roman"/>
                      <w:b w:val="0"/>
                      <w:bCs/>
                      <w:color w:val="auto"/>
                      <w:sz w:val="21"/>
                      <w:szCs w:val="21"/>
                      <w:u w:val="none"/>
                      <w:lang w:val="en-US" w:eastAsia="zh-CN"/>
                    </w:rPr>
                    <w:t>10950</w:t>
                  </w:r>
                  <w:r>
                    <w:rPr>
                      <w:rFonts w:ascii="Times New Roman" w:hAnsi="Times New Roman"/>
                      <w:color w:val="auto"/>
                      <w:kern w:val="0"/>
                      <w:sz w:val="21"/>
                      <w:szCs w:val="21"/>
                    </w:rPr>
                    <w:t>m</w:t>
                  </w:r>
                  <w:r>
                    <w:rPr>
                      <w:rFonts w:ascii="Times New Roman" w:hAnsi="Times New Roman"/>
                      <w:color w:val="auto"/>
                      <w:kern w:val="0"/>
                      <w:sz w:val="21"/>
                      <w:szCs w:val="21"/>
                      <w:vertAlign w:val="superscript"/>
                    </w:rPr>
                    <w:t>3</w:t>
                  </w:r>
                  <w:r>
                    <w:rPr>
                      <w:rFonts w:ascii="Times New Roman" w:hAnsi="Times New Roman"/>
                      <w:color w:val="auto"/>
                      <w:kern w:val="0"/>
                      <w:sz w:val="21"/>
                      <w:szCs w:val="21"/>
                    </w:rPr>
                    <w:t>/a</w:t>
                  </w:r>
                </w:p>
              </w:tc>
              <w:tc>
                <w:tcPr>
                  <w:tcW w:w="875" w:type="pct"/>
                  <w:noWrap w:val="0"/>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bidi="ar"/>
                    </w:rPr>
                    <w:t>3370.33</w:t>
                  </w:r>
                  <w:r>
                    <w:rPr>
                      <w:rFonts w:ascii="Times New Roman" w:hAnsi="Times New Roman"/>
                      <w:color w:val="auto"/>
                      <w:kern w:val="0"/>
                      <w:sz w:val="21"/>
                      <w:szCs w:val="21"/>
                    </w:rPr>
                    <w:t>m</w:t>
                  </w:r>
                  <w:r>
                    <w:rPr>
                      <w:rFonts w:ascii="Times New Roman" w:hAnsi="Times New Roman"/>
                      <w:color w:val="auto"/>
                      <w:kern w:val="0"/>
                      <w:sz w:val="21"/>
                      <w:szCs w:val="21"/>
                      <w:vertAlign w:val="superscript"/>
                    </w:rPr>
                    <w:t>3</w:t>
                  </w:r>
                  <w:r>
                    <w:rPr>
                      <w:rFonts w:ascii="Times New Roman" w:hAnsi="Times New Roman"/>
                      <w:color w:val="auto"/>
                      <w:kern w:val="0"/>
                      <w:sz w:val="21"/>
                      <w:szCs w:val="21"/>
                    </w:rPr>
                    <w:t>/a</w:t>
                  </w:r>
                </w:p>
              </w:tc>
              <w:tc>
                <w:tcPr>
                  <w:tcW w:w="896"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bidi="ar"/>
                    </w:rPr>
                    <w:t>7579.67</w:t>
                  </w:r>
                  <w:r>
                    <w:rPr>
                      <w:rFonts w:ascii="Times New Roman" w:hAnsi="Times New Roman"/>
                      <w:color w:val="auto"/>
                      <w:kern w:val="0"/>
                      <w:sz w:val="21"/>
                      <w:szCs w:val="21"/>
                    </w:rPr>
                    <w:t>m</w:t>
                  </w:r>
                  <w:r>
                    <w:rPr>
                      <w:rFonts w:ascii="Times New Roman" w:hAnsi="Times New Roman"/>
                      <w:color w:val="auto"/>
                      <w:kern w:val="0"/>
                      <w:sz w:val="21"/>
                      <w:szCs w:val="21"/>
                      <w:vertAlign w:val="superscript"/>
                    </w:rPr>
                    <w:t>3</w:t>
                  </w:r>
                  <w:r>
                    <w:rPr>
                      <w:rFonts w:ascii="Times New Roman" w:hAnsi="Times New Roman"/>
                      <w:color w:val="auto"/>
                      <w:kern w:val="0"/>
                      <w:sz w:val="21"/>
                      <w:szCs w:val="21"/>
                    </w:rPr>
                    <w:t>/a</w:t>
                  </w:r>
                </w:p>
              </w:tc>
              <w:tc>
                <w:tcPr>
                  <w:tcW w:w="893" w:type="pct"/>
                  <w:noWrap w:val="0"/>
                  <w:vAlign w:val="center"/>
                </w:tcPr>
                <w:p>
                  <w:pPr>
                    <w:widowControl/>
                    <w:spacing w:line="240" w:lineRule="auto"/>
                    <w:jc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84" w:type="pct"/>
                  <w:vMerge w:val="continue"/>
                  <w:noWrap w:val="0"/>
                  <w:vAlign w:val="center"/>
                </w:tcPr>
                <w:p>
                  <w:pPr>
                    <w:widowControl/>
                    <w:spacing w:line="240" w:lineRule="auto"/>
                    <w:jc w:val="center"/>
                    <w:rPr>
                      <w:rFonts w:ascii="Times New Roman" w:hAnsi="Times New Roman"/>
                      <w:color w:val="auto"/>
                      <w:kern w:val="0"/>
                      <w:sz w:val="21"/>
                      <w:szCs w:val="21"/>
                    </w:rPr>
                  </w:pPr>
                </w:p>
              </w:tc>
              <w:tc>
                <w:tcPr>
                  <w:tcW w:w="1025" w:type="pct"/>
                  <w:noWrap w:val="0"/>
                  <w:vAlign w:val="center"/>
                </w:tcPr>
                <w:p>
                  <w:pPr>
                    <w:widowControl/>
                    <w:spacing w:line="240" w:lineRule="auto"/>
                    <w:jc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val="en-US" w:eastAsia="zh-CN"/>
                    </w:rPr>
                    <w:t>生活用</w:t>
                  </w:r>
                  <w:r>
                    <w:rPr>
                      <w:rFonts w:hint="eastAsia" w:ascii="Times New Roman" w:hAnsi="Times New Roman"/>
                      <w:color w:val="auto"/>
                      <w:kern w:val="0"/>
                      <w:sz w:val="21"/>
                      <w:szCs w:val="21"/>
                      <w:lang w:eastAsia="zh-CN"/>
                    </w:rPr>
                    <w:t>水</w:t>
                  </w:r>
                </w:p>
              </w:tc>
              <w:tc>
                <w:tcPr>
                  <w:tcW w:w="824" w:type="pct"/>
                  <w:noWrap w:val="0"/>
                  <w:vAlign w:val="center"/>
                </w:tcPr>
                <w:p>
                  <w:pPr>
                    <w:widowControl/>
                    <w:spacing w:line="240" w:lineRule="auto"/>
                    <w:jc w:val="center"/>
                    <w:rPr>
                      <w:rFonts w:hint="default"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1800</w:t>
                  </w: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3</w:t>
                  </w:r>
                  <w:r>
                    <w:rPr>
                      <w:rFonts w:ascii="Times New Roman" w:hAnsi="Times New Roman"/>
                      <w:color w:val="auto"/>
                      <w:kern w:val="0"/>
                      <w:sz w:val="21"/>
                      <w:szCs w:val="21"/>
                      <w:highlight w:val="none"/>
                    </w:rPr>
                    <w:t>/a</w:t>
                  </w:r>
                </w:p>
              </w:tc>
              <w:tc>
                <w:tcPr>
                  <w:tcW w:w="875" w:type="pct"/>
                  <w:noWrap w:val="0"/>
                  <w:vAlign w:val="center"/>
                </w:tcPr>
                <w:p>
                  <w:pPr>
                    <w:widowControl/>
                    <w:spacing w:line="240" w:lineRule="auto"/>
                    <w:jc w:val="center"/>
                    <w:rPr>
                      <w:rFonts w:hint="default" w:ascii="Times New Roman" w:hAnsi="Times New Roman"/>
                      <w:color w:val="auto"/>
                      <w:kern w:val="0"/>
                      <w:sz w:val="21"/>
                      <w:szCs w:val="21"/>
                      <w:highlight w:val="none"/>
                      <w:lang w:val="en-US" w:eastAsia="zh-CN"/>
                    </w:rPr>
                  </w:pPr>
                  <w:r>
                    <w:rPr>
                      <w:rFonts w:hint="eastAsia"/>
                      <w:color w:val="auto"/>
                      <w:kern w:val="0"/>
                      <w:sz w:val="21"/>
                      <w:szCs w:val="21"/>
                      <w:highlight w:val="none"/>
                      <w:lang w:val="en-US" w:eastAsia="zh-CN"/>
                    </w:rPr>
                    <w:t>0</w:t>
                  </w:r>
                </w:p>
              </w:tc>
              <w:tc>
                <w:tcPr>
                  <w:tcW w:w="896" w:type="pct"/>
                  <w:noWrap w:val="0"/>
                  <w:vAlign w:val="center"/>
                </w:tcPr>
                <w:p>
                  <w:pPr>
                    <w:widowControl/>
                    <w:spacing w:line="240" w:lineRule="auto"/>
                    <w:jc w:val="center"/>
                    <w:rPr>
                      <w:rFonts w:hint="eastAsia" w:ascii="Times New Roman" w:hAnsi="Times New Roman"/>
                      <w:color w:val="auto"/>
                      <w:kern w:val="0"/>
                      <w:sz w:val="21"/>
                      <w:szCs w:val="21"/>
                      <w:highlight w:val="none"/>
                      <w:lang w:val="en-US" w:eastAsia="zh-CN"/>
                    </w:rPr>
                  </w:pPr>
                  <w:r>
                    <w:rPr>
                      <w:rFonts w:hint="eastAsia"/>
                      <w:color w:val="auto"/>
                      <w:kern w:val="0"/>
                      <w:sz w:val="21"/>
                      <w:szCs w:val="21"/>
                      <w:highlight w:val="none"/>
                      <w:lang w:val="en-US" w:eastAsia="zh-CN"/>
                    </w:rPr>
                    <w:t>18</w:t>
                  </w:r>
                  <w:r>
                    <w:rPr>
                      <w:rFonts w:hint="eastAsia" w:ascii="Times New Roman" w:hAnsi="Times New Roman"/>
                      <w:color w:val="auto"/>
                      <w:kern w:val="0"/>
                      <w:sz w:val="21"/>
                      <w:szCs w:val="21"/>
                      <w:highlight w:val="none"/>
                      <w:lang w:val="en-US" w:eastAsia="zh-CN"/>
                    </w:rPr>
                    <w:t>00</w:t>
                  </w: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3</w:t>
                  </w:r>
                  <w:r>
                    <w:rPr>
                      <w:rFonts w:ascii="Times New Roman" w:hAnsi="Times New Roman"/>
                      <w:color w:val="auto"/>
                      <w:kern w:val="0"/>
                      <w:sz w:val="21"/>
                      <w:szCs w:val="21"/>
                      <w:highlight w:val="none"/>
                    </w:rPr>
                    <w:t>/a</w:t>
                  </w:r>
                </w:p>
              </w:tc>
              <w:tc>
                <w:tcPr>
                  <w:tcW w:w="893"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园区给水管网</w:t>
                  </w:r>
                </w:p>
              </w:tc>
            </w:tr>
          </w:tbl>
          <w:p>
            <w:pPr>
              <w:pStyle w:val="72"/>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eastAsia" w:ascii="宋体" w:hAnsi="宋体" w:eastAsia="宋体" w:cs="宋体"/>
                <w:color w:val="auto"/>
                <w:sz w:val="21"/>
                <w:szCs w:val="21"/>
                <w:lang w:val="en-US" w:eastAsia="zh-CN"/>
              </w:rPr>
            </w:pPr>
            <w:r>
              <w:rPr>
                <w:rFonts w:hint="eastAsia" w:ascii="Times New Roman" w:hAnsi="Times New Roman" w:eastAsia="宋体" w:cs="Times New Roman"/>
                <w:b/>
                <w:bCs/>
                <w:color w:val="auto"/>
                <w:sz w:val="21"/>
                <w:szCs w:val="21"/>
                <w:lang w:val="en-US" w:eastAsia="zh-CN"/>
              </w:rPr>
              <w:t>注：</w:t>
            </w:r>
            <w:r>
              <w:rPr>
                <w:rFonts w:hint="default" w:ascii="Times New Roman" w:hAnsi="Times New Roman" w:eastAsia="宋体" w:cs="Times New Roman"/>
                <w:b/>
                <w:bCs/>
                <w:color w:val="auto"/>
                <w:sz w:val="21"/>
                <w:szCs w:val="21"/>
              </w:rPr>
              <w:t>本项目所用</w:t>
            </w:r>
            <w:r>
              <w:rPr>
                <w:rFonts w:hint="default" w:ascii="Times New Roman" w:hAnsi="Times New Roman" w:eastAsia="宋体" w:cs="Times New Roman"/>
                <w:b/>
                <w:bCs/>
                <w:color w:val="auto"/>
                <w:sz w:val="21"/>
                <w:szCs w:val="21"/>
                <w:lang w:val="en-US" w:eastAsia="zh-CN"/>
              </w:rPr>
              <w:t>原料</w:t>
            </w:r>
            <w:r>
              <w:rPr>
                <w:rFonts w:hint="default" w:ascii="Times New Roman" w:hAnsi="Times New Roman" w:eastAsia="宋体" w:cs="Times New Roman"/>
                <w:b/>
                <w:bCs/>
                <w:color w:val="auto"/>
                <w:kern w:val="0"/>
                <w:sz w:val="21"/>
                <w:szCs w:val="21"/>
                <w:lang w:val="en-US" w:eastAsia="zh-CN"/>
              </w:rPr>
              <w:t>塑料丝</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均来源于</w:t>
            </w:r>
            <w:r>
              <w:rPr>
                <w:rFonts w:hint="default" w:ascii="Times New Roman" w:hAnsi="Times New Roman" w:eastAsia="宋体" w:cs="Times New Roman"/>
                <w:b/>
                <w:bCs/>
                <w:color w:val="auto"/>
                <w:kern w:val="0"/>
                <w:sz w:val="21"/>
                <w:szCs w:val="21"/>
                <w:lang w:val="en-US" w:eastAsia="zh-CN"/>
              </w:rPr>
              <w:t>本公司塑料丝生产线，不外购</w:t>
            </w:r>
            <w:r>
              <w:rPr>
                <w:rFonts w:hint="default" w:ascii="Times New Roman" w:hAnsi="Times New Roman" w:eastAsia="宋体" w:cs="Times New Roman"/>
                <w:b/>
                <w:bCs/>
                <w:color w:val="auto"/>
                <w:sz w:val="21"/>
                <w:szCs w:val="21"/>
              </w:rPr>
              <w:t>。</w:t>
            </w:r>
          </w:p>
          <w:p>
            <w:pPr>
              <w:pStyle w:val="71"/>
              <w:spacing w:before="0" w:beforeLines="0" w:line="360" w:lineRule="auto"/>
              <w:rPr>
                <w:color w:val="auto"/>
                <w:sz w:val="24"/>
                <w:szCs w:val="24"/>
              </w:rPr>
            </w:pPr>
            <w:r>
              <w:rPr>
                <w:color w:val="auto"/>
                <w:sz w:val="24"/>
                <w:szCs w:val="24"/>
              </w:rPr>
              <w:t>五</w:t>
            </w:r>
            <w:r>
              <w:rPr>
                <w:rFonts w:hint="eastAsia"/>
                <w:color w:val="auto"/>
                <w:sz w:val="24"/>
                <w:szCs w:val="24"/>
                <w:lang w:eastAsia="zh-CN"/>
              </w:rPr>
              <w:t>、</w:t>
            </w:r>
            <w:r>
              <w:rPr>
                <w:color w:val="auto"/>
                <w:sz w:val="24"/>
                <w:szCs w:val="24"/>
              </w:rPr>
              <w:t>项目营运期主要生产设备</w:t>
            </w:r>
          </w:p>
          <w:p>
            <w:pPr>
              <w:pStyle w:val="69"/>
              <w:spacing w:line="360" w:lineRule="auto"/>
              <w:rPr>
                <w:rFonts w:hint="eastAsia"/>
                <w:color w:val="auto"/>
                <w:sz w:val="24"/>
                <w:szCs w:val="24"/>
                <w:lang w:val="en-US" w:eastAsia="zh-CN"/>
              </w:rPr>
            </w:pPr>
            <w:r>
              <w:rPr>
                <w:color w:val="auto"/>
                <w:sz w:val="24"/>
                <w:szCs w:val="24"/>
              </w:rPr>
              <w:t>本项目营运期主要生产设备</w:t>
            </w:r>
            <w:r>
              <w:rPr>
                <w:rFonts w:hint="eastAsia"/>
                <w:color w:val="auto"/>
                <w:sz w:val="24"/>
                <w:szCs w:val="24"/>
                <w:lang w:val="en-US" w:eastAsia="zh-CN"/>
              </w:rPr>
              <w:t>变化情况为：新增150台圆织机，并取消一条塑料颗粒生产线，相关设备外售处理，取消烧网工序</w:t>
            </w:r>
            <w:r>
              <w:rPr>
                <w:color w:val="auto"/>
                <w:sz w:val="24"/>
                <w:szCs w:val="24"/>
              </w:rPr>
              <w:t>。本项目实施后</w:t>
            </w:r>
            <w:r>
              <w:rPr>
                <w:rFonts w:hint="eastAsia"/>
                <w:color w:val="auto"/>
                <w:sz w:val="24"/>
                <w:szCs w:val="24"/>
                <w:lang w:val="en-US" w:eastAsia="zh-CN"/>
              </w:rPr>
              <w:t>全厂</w:t>
            </w:r>
            <w:r>
              <w:rPr>
                <w:color w:val="auto"/>
                <w:sz w:val="24"/>
                <w:szCs w:val="24"/>
              </w:rPr>
              <w:t>主要生产设备变化情况表如下：</w:t>
            </w:r>
            <w:r>
              <w:rPr>
                <w:rFonts w:hint="eastAsia"/>
                <w:color w:val="auto"/>
                <w:sz w:val="24"/>
                <w:szCs w:val="24"/>
                <w:lang w:val="en-US" w:eastAsia="zh-CN"/>
              </w:rPr>
              <w:t xml:space="preserve"> </w:t>
            </w:r>
          </w:p>
          <w:p>
            <w:pPr>
              <w:pStyle w:val="69"/>
              <w:spacing w:line="360" w:lineRule="auto"/>
              <w:rPr>
                <w:rFonts w:hint="eastAsia"/>
                <w:color w:val="auto"/>
                <w:sz w:val="24"/>
                <w:szCs w:val="24"/>
                <w:lang w:val="en-US" w:eastAsia="zh-CN"/>
              </w:rPr>
            </w:pPr>
          </w:p>
          <w:p>
            <w:pPr>
              <w:pStyle w:val="69"/>
              <w:spacing w:line="360" w:lineRule="auto"/>
              <w:rPr>
                <w:rFonts w:hint="eastAsia"/>
                <w:color w:val="auto"/>
                <w:sz w:val="24"/>
                <w:szCs w:val="24"/>
                <w:lang w:val="en-US" w:eastAsia="zh-CN"/>
              </w:rPr>
            </w:pPr>
          </w:p>
          <w:p>
            <w:pPr>
              <w:pStyle w:val="69"/>
              <w:spacing w:line="360" w:lineRule="auto"/>
              <w:rPr>
                <w:rFonts w:hint="eastAsia"/>
                <w:color w:val="auto"/>
                <w:sz w:val="24"/>
                <w:szCs w:val="24"/>
                <w:lang w:val="en-US" w:eastAsia="zh-CN"/>
              </w:rPr>
            </w:pPr>
          </w:p>
          <w:p>
            <w:pPr>
              <w:pStyle w:val="72"/>
              <w:spacing w:after="0" w:afterLines="0" w:line="240" w:lineRule="auto"/>
              <w:ind w:firstLine="0" w:firstLineChars="0"/>
              <w:jc w:val="center"/>
              <w:rPr>
                <w:color w:val="auto"/>
                <w:szCs w:val="21"/>
              </w:rPr>
            </w:pPr>
            <w:r>
              <w:rPr>
                <w:color w:val="auto"/>
                <w:szCs w:val="21"/>
              </w:rPr>
              <w:t>表2-</w:t>
            </w:r>
            <w:r>
              <w:rPr>
                <w:rFonts w:hint="eastAsia"/>
                <w:color w:val="auto"/>
                <w:szCs w:val="21"/>
                <w:lang w:val="en-US" w:eastAsia="zh-CN"/>
              </w:rPr>
              <w:t>5</w:t>
            </w:r>
            <w:r>
              <w:rPr>
                <w:color w:val="auto"/>
                <w:szCs w:val="21"/>
              </w:rPr>
              <w:t xml:space="preserve"> 项目实施后所涉及的车间主要生产设备变化情况</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841"/>
              <w:gridCol w:w="1907"/>
              <w:gridCol w:w="1071"/>
              <w:gridCol w:w="1457"/>
              <w:gridCol w:w="1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92" w:type="pct"/>
                  <w:vMerge w:val="restar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序号</w:t>
                  </w:r>
                </w:p>
              </w:tc>
              <w:tc>
                <w:tcPr>
                  <w:tcW w:w="1097" w:type="pct"/>
                  <w:vMerge w:val="restar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设备名称</w:t>
                  </w:r>
                </w:p>
              </w:tc>
              <w:tc>
                <w:tcPr>
                  <w:tcW w:w="1136" w:type="pct"/>
                  <w:vMerge w:val="restar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规格型号</w:t>
                  </w:r>
                </w:p>
              </w:tc>
              <w:tc>
                <w:tcPr>
                  <w:tcW w:w="2273" w:type="pct"/>
                  <w:gridSpan w:val="3"/>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2" w:type="pct"/>
                  <w:vMerge w:val="continue"/>
                  <w:shd w:val="clear" w:color="auto" w:fill="DCE6F2"/>
                  <w:noWrap w:val="0"/>
                  <w:vAlign w:val="center"/>
                </w:tcPr>
                <w:p>
                  <w:pPr>
                    <w:widowControl/>
                    <w:spacing w:line="240" w:lineRule="auto"/>
                    <w:jc w:val="center"/>
                    <w:rPr>
                      <w:rFonts w:ascii="Times New Roman" w:hAnsi="Times New Roman"/>
                      <w:b/>
                      <w:bCs/>
                      <w:color w:val="auto"/>
                      <w:kern w:val="0"/>
                      <w:sz w:val="21"/>
                      <w:szCs w:val="21"/>
                    </w:rPr>
                  </w:pPr>
                </w:p>
              </w:tc>
              <w:tc>
                <w:tcPr>
                  <w:tcW w:w="1097" w:type="pct"/>
                  <w:vMerge w:val="continue"/>
                  <w:shd w:val="clear" w:color="auto" w:fill="DCE6F2"/>
                  <w:noWrap w:val="0"/>
                  <w:vAlign w:val="center"/>
                </w:tcPr>
                <w:p>
                  <w:pPr>
                    <w:widowControl/>
                    <w:spacing w:line="240" w:lineRule="auto"/>
                    <w:jc w:val="center"/>
                    <w:rPr>
                      <w:rFonts w:ascii="Times New Roman" w:hAnsi="Times New Roman"/>
                      <w:b/>
                      <w:bCs/>
                      <w:color w:val="auto"/>
                      <w:kern w:val="0"/>
                      <w:sz w:val="21"/>
                      <w:szCs w:val="21"/>
                    </w:rPr>
                  </w:pPr>
                </w:p>
              </w:tc>
              <w:tc>
                <w:tcPr>
                  <w:tcW w:w="1136" w:type="pct"/>
                  <w:vMerge w:val="continue"/>
                  <w:shd w:val="clear" w:color="auto" w:fill="DCE6F2"/>
                  <w:noWrap w:val="0"/>
                  <w:vAlign w:val="center"/>
                </w:tcPr>
                <w:p>
                  <w:pPr>
                    <w:widowControl/>
                    <w:spacing w:line="240" w:lineRule="auto"/>
                    <w:jc w:val="center"/>
                    <w:rPr>
                      <w:rFonts w:ascii="Times New Roman" w:hAnsi="Times New Roman"/>
                      <w:b/>
                      <w:bCs/>
                      <w:color w:val="auto"/>
                      <w:kern w:val="0"/>
                      <w:sz w:val="21"/>
                      <w:szCs w:val="21"/>
                    </w:rPr>
                  </w:pPr>
                </w:p>
              </w:tc>
              <w:tc>
                <w:tcPr>
                  <w:tcW w:w="638"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现有</w:t>
                  </w:r>
                </w:p>
              </w:tc>
              <w:tc>
                <w:tcPr>
                  <w:tcW w:w="868"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hint="eastAsia" w:ascii="Times New Roman" w:hAnsi="Times New Roman"/>
                      <w:b/>
                      <w:bCs/>
                      <w:color w:val="auto"/>
                      <w:kern w:val="0"/>
                      <w:sz w:val="21"/>
                      <w:szCs w:val="21"/>
                      <w:lang w:val="en-US" w:eastAsia="zh-CN"/>
                    </w:rPr>
                    <w:t>技改变化</w:t>
                  </w:r>
                </w:p>
              </w:tc>
              <w:tc>
                <w:tcPr>
                  <w:tcW w:w="767"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hint="eastAsia" w:ascii="Times New Roman" w:hAnsi="Times New Roman"/>
                      <w:b/>
                      <w:bCs/>
                      <w:color w:val="auto"/>
                      <w:kern w:val="0"/>
                      <w:sz w:val="21"/>
                      <w:szCs w:val="21"/>
                      <w:lang w:val="en-US" w:eastAsia="zh-CN"/>
                    </w:rPr>
                    <w:t>技改</w:t>
                  </w:r>
                  <w:r>
                    <w:rPr>
                      <w:rFonts w:ascii="Times New Roman" w:hAnsi="Times New Roman"/>
                      <w:b/>
                      <w:bCs/>
                      <w:color w:val="auto"/>
                      <w:kern w:val="0"/>
                      <w:sz w:val="21"/>
                      <w:szCs w:val="21"/>
                    </w:rPr>
                    <w:t>后全厂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92"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w:t>
                  </w:r>
                </w:p>
              </w:tc>
              <w:tc>
                <w:tcPr>
                  <w:tcW w:w="1097"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上料机</w:t>
                  </w:r>
                </w:p>
              </w:tc>
              <w:tc>
                <w:tcPr>
                  <w:tcW w:w="113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w:t>
                  </w:r>
                </w:p>
              </w:tc>
              <w:tc>
                <w:tcPr>
                  <w:tcW w:w="638"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w:t>
                  </w:r>
                  <w:r>
                    <w:rPr>
                      <w:rFonts w:hint="eastAsia"/>
                      <w:color w:val="auto"/>
                      <w:kern w:val="0"/>
                      <w:sz w:val="21"/>
                      <w:szCs w:val="21"/>
                    </w:rPr>
                    <w:t>1</w:t>
                  </w:r>
                  <w:r>
                    <w:rPr>
                      <w:rFonts w:ascii="Times New Roman" w:hAnsi="Times New Roman"/>
                      <w:color w:val="auto"/>
                      <w:kern w:val="0"/>
                      <w:sz w:val="21"/>
                      <w:szCs w:val="21"/>
                    </w:rPr>
                    <w:t>台</w:t>
                  </w:r>
                </w:p>
              </w:tc>
              <w:tc>
                <w:tcPr>
                  <w:tcW w:w="767"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92"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w:t>
                  </w:r>
                </w:p>
              </w:tc>
              <w:tc>
                <w:tcPr>
                  <w:tcW w:w="1097" w:type="pct"/>
                  <w:noWrap w:val="0"/>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1#</w:t>
                  </w:r>
                  <w:r>
                    <w:rPr>
                      <w:rFonts w:ascii="Times New Roman" w:hAnsi="Times New Roman"/>
                      <w:color w:val="auto"/>
                      <w:kern w:val="0"/>
                      <w:sz w:val="21"/>
                      <w:szCs w:val="21"/>
                    </w:rPr>
                    <w:t>传送带</w:t>
                  </w:r>
                </w:p>
              </w:tc>
              <w:tc>
                <w:tcPr>
                  <w:tcW w:w="113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w:t>
                  </w:r>
                  <w:r>
                    <w:rPr>
                      <w:rFonts w:ascii="Times New Roman" w:hAnsi="Times New Roman"/>
                      <w:color w:val="auto"/>
                      <w:sz w:val="21"/>
                      <w:szCs w:val="21"/>
                    </w:rPr>
                    <w:t>×10×6m</w:t>
                  </w:r>
                </w:p>
              </w:tc>
              <w:tc>
                <w:tcPr>
                  <w:tcW w:w="638"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5</w:t>
                  </w:r>
                  <w:r>
                    <w:rPr>
                      <w:rFonts w:ascii="Times New Roman" w:hAnsi="Times New Roman"/>
                      <w:color w:val="auto"/>
                      <w:kern w:val="0"/>
                      <w:sz w:val="21"/>
                      <w:szCs w:val="21"/>
                    </w:rPr>
                    <w:t>套</w:t>
                  </w:r>
                </w:p>
              </w:tc>
              <w:tc>
                <w:tcPr>
                  <w:tcW w:w="868"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w:t>
                  </w:r>
                  <w:r>
                    <w:rPr>
                      <w:rFonts w:hint="eastAsia"/>
                      <w:color w:val="auto"/>
                      <w:kern w:val="0"/>
                      <w:sz w:val="21"/>
                      <w:szCs w:val="21"/>
                    </w:rPr>
                    <w:t>1</w:t>
                  </w:r>
                  <w:r>
                    <w:rPr>
                      <w:rFonts w:ascii="Times New Roman" w:hAnsi="Times New Roman"/>
                      <w:color w:val="auto"/>
                      <w:kern w:val="0"/>
                      <w:sz w:val="21"/>
                      <w:szCs w:val="21"/>
                    </w:rPr>
                    <w:t>套</w:t>
                  </w:r>
                </w:p>
              </w:tc>
              <w:tc>
                <w:tcPr>
                  <w:tcW w:w="767"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4</w:t>
                  </w:r>
                  <w:r>
                    <w:rPr>
                      <w:rFonts w:ascii="Times New Roman" w:hAnsi="Times New Roman"/>
                      <w:color w:val="auto"/>
                      <w:kern w:val="0"/>
                      <w:sz w:val="21"/>
                      <w:szCs w:val="21"/>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p>
              </w:tc>
              <w:tc>
                <w:tcPr>
                  <w:tcW w:w="109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喂料机</w:t>
                  </w:r>
                </w:p>
              </w:tc>
              <w:tc>
                <w:tcPr>
                  <w:tcW w:w="113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sz w:val="21"/>
                      <w:szCs w:val="21"/>
                    </w:rPr>
                    <w:t>100*5.5</w:t>
                  </w:r>
                </w:p>
              </w:tc>
              <w:tc>
                <w:tcPr>
                  <w:tcW w:w="638"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w:t>
                  </w:r>
                  <w:r>
                    <w:rPr>
                      <w:rFonts w:hint="eastAsia"/>
                      <w:color w:val="auto"/>
                      <w:kern w:val="0"/>
                      <w:sz w:val="21"/>
                      <w:szCs w:val="21"/>
                    </w:rPr>
                    <w:t>1</w:t>
                  </w:r>
                  <w:r>
                    <w:rPr>
                      <w:rFonts w:ascii="Times New Roman" w:hAnsi="Times New Roman"/>
                      <w:color w:val="auto"/>
                      <w:kern w:val="0"/>
                      <w:sz w:val="21"/>
                      <w:szCs w:val="21"/>
                    </w:rPr>
                    <w:t>台</w:t>
                  </w:r>
                </w:p>
              </w:tc>
              <w:tc>
                <w:tcPr>
                  <w:tcW w:w="767"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w:t>
                  </w:r>
                </w:p>
              </w:tc>
              <w:tc>
                <w:tcPr>
                  <w:tcW w:w="109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破碎机</w:t>
                  </w:r>
                </w:p>
              </w:tc>
              <w:tc>
                <w:tcPr>
                  <w:tcW w:w="113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1100</w:t>
                  </w:r>
                </w:p>
              </w:tc>
              <w:tc>
                <w:tcPr>
                  <w:tcW w:w="63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-1台</w:t>
                  </w:r>
                </w:p>
              </w:tc>
              <w:tc>
                <w:tcPr>
                  <w:tcW w:w="767"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w:t>
                  </w:r>
                </w:p>
              </w:tc>
              <w:tc>
                <w:tcPr>
                  <w:tcW w:w="1097"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w:t>
                  </w:r>
                  <w:r>
                    <w:rPr>
                      <w:rFonts w:ascii="Times New Roman" w:hAnsi="Times New Roman"/>
                      <w:color w:val="auto"/>
                      <w:sz w:val="21"/>
                      <w:szCs w:val="21"/>
                    </w:rPr>
                    <w:t>传送带</w:t>
                  </w:r>
                </w:p>
              </w:tc>
              <w:tc>
                <w:tcPr>
                  <w:tcW w:w="113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2×30×6m</w:t>
                  </w:r>
                </w:p>
              </w:tc>
              <w:tc>
                <w:tcPr>
                  <w:tcW w:w="638"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4</w:t>
                  </w:r>
                  <w:r>
                    <w:rPr>
                      <w:rFonts w:ascii="Times New Roman" w:hAnsi="Times New Roman"/>
                      <w:color w:val="auto"/>
                      <w:kern w:val="0"/>
                      <w:sz w:val="21"/>
                      <w:szCs w:val="21"/>
                    </w:rPr>
                    <w:t>套</w:t>
                  </w:r>
                </w:p>
              </w:tc>
              <w:tc>
                <w:tcPr>
                  <w:tcW w:w="868" w:type="pct"/>
                  <w:noWrap w:val="0"/>
                  <w:vAlign w:val="center"/>
                </w:tcPr>
                <w:p>
                  <w:pPr>
                    <w:widowControl/>
                    <w:spacing w:line="240" w:lineRule="auto"/>
                    <w:jc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val="en-US" w:eastAsia="zh-CN"/>
                    </w:rPr>
                    <w:t>-</w:t>
                  </w:r>
                  <w:r>
                    <w:rPr>
                      <w:rFonts w:hint="eastAsia"/>
                      <w:color w:val="auto"/>
                      <w:kern w:val="0"/>
                      <w:sz w:val="21"/>
                      <w:szCs w:val="21"/>
                    </w:rPr>
                    <w:t>1</w:t>
                  </w:r>
                  <w:r>
                    <w:rPr>
                      <w:rFonts w:hint="eastAsia" w:ascii="Times New Roman" w:hAnsi="Times New Roman"/>
                      <w:color w:val="auto"/>
                      <w:kern w:val="0"/>
                      <w:sz w:val="21"/>
                      <w:szCs w:val="21"/>
                      <w:lang w:val="en-US" w:eastAsia="zh-CN"/>
                    </w:rPr>
                    <w:t>套</w:t>
                  </w:r>
                </w:p>
              </w:tc>
              <w:tc>
                <w:tcPr>
                  <w:tcW w:w="767"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3</w:t>
                  </w:r>
                  <w:r>
                    <w:rPr>
                      <w:rFonts w:ascii="Times New Roman" w:hAnsi="Times New Roman"/>
                      <w:color w:val="auto"/>
                      <w:kern w:val="0"/>
                      <w:sz w:val="21"/>
                      <w:szCs w:val="21"/>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w:t>
                  </w:r>
                </w:p>
              </w:tc>
              <w:tc>
                <w:tcPr>
                  <w:tcW w:w="109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甩干机</w:t>
                  </w:r>
                </w:p>
              </w:tc>
              <w:tc>
                <w:tcPr>
                  <w:tcW w:w="113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80*2.6M</w:t>
                  </w:r>
                </w:p>
              </w:tc>
              <w:tc>
                <w:tcPr>
                  <w:tcW w:w="638"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4</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0</w:t>
                  </w:r>
                </w:p>
              </w:tc>
              <w:tc>
                <w:tcPr>
                  <w:tcW w:w="767"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4</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7</w:t>
                  </w:r>
                </w:p>
              </w:tc>
              <w:tc>
                <w:tcPr>
                  <w:tcW w:w="109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造粒主机</w:t>
                  </w:r>
                </w:p>
              </w:tc>
              <w:tc>
                <w:tcPr>
                  <w:tcW w:w="113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450*4.2M</w:t>
                  </w:r>
                </w:p>
              </w:tc>
              <w:tc>
                <w:tcPr>
                  <w:tcW w:w="63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0</w:t>
                  </w:r>
                </w:p>
              </w:tc>
              <w:tc>
                <w:tcPr>
                  <w:tcW w:w="76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8</w:t>
                  </w:r>
                </w:p>
              </w:tc>
              <w:tc>
                <w:tcPr>
                  <w:tcW w:w="109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造粒中机</w:t>
                  </w:r>
                </w:p>
              </w:tc>
              <w:tc>
                <w:tcPr>
                  <w:tcW w:w="113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350*2M</w:t>
                  </w:r>
                </w:p>
              </w:tc>
              <w:tc>
                <w:tcPr>
                  <w:tcW w:w="63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0</w:t>
                  </w:r>
                </w:p>
              </w:tc>
              <w:tc>
                <w:tcPr>
                  <w:tcW w:w="76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9</w:t>
                  </w:r>
                </w:p>
              </w:tc>
              <w:tc>
                <w:tcPr>
                  <w:tcW w:w="109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造粒三机</w:t>
                  </w:r>
                </w:p>
              </w:tc>
              <w:tc>
                <w:tcPr>
                  <w:tcW w:w="113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250*2M</w:t>
                  </w:r>
                </w:p>
              </w:tc>
              <w:tc>
                <w:tcPr>
                  <w:tcW w:w="63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0</w:t>
                  </w:r>
                </w:p>
              </w:tc>
              <w:tc>
                <w:tcPr>
                  <w:tcW w:w="76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109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冷却水槽</w:t>
                  </w:r>
                </w:p>
              </w:tc>
              <w:tc>
                <w:tcPr>
                  <w:tcW w:w="113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80*6M</w:t>
                  </w:r>
                </w:p>
              </w:tc>
              <w:tc>
                <w:tcPr>
                  <w:tcW w:w="638"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4</w:t>
                  </w:r>
                  <w:r>
                    <w:rPr>
                      <w:rFonts w:ascii="Times New Roman" w:hAnsi="Times New Roman"/>
                      <w:color w:val="auto"/>
                      <w:sz w:val="21"/>
                      <w:szCs w:val="21"/>
                    </w:rPr>
                    <w:t>个</w:t>
                  </w:r>
                </w:p>
              </w:tc>
              <w:tc>
                <w:tcPr>
                  <w:tcW w:w="868" w:type="pct"/>
                  <w:noWrap w:val="0"/>
                  <w:vAlign w:val="center"/>
                </w:tcPr>
                <w:p>
                  <w:pPr>
                    <w:widowControl/>
                    <w:spacing w:line="240" w:lineRule="auto"/>
                    <w:jc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val="en-US" w:eastAsia="zh-CN"/>
                    </w:rPr>
                    <w:t>-</w:t>
                  </w:r>
                  <w:r>
                    <w:rPr>
                      <w:rFonts w:hint="eastAsia"/>
                      <w:color w:val="auto"/>
                      <w:kern w:val="0"/>
                      <w:sz w:val="21"/>
                      <w:szCs w:val="21"/>
                      <w:lang w:val="en-US" w:eastAsia="zh-CN"/>
                    </w:rPr>
                    <w:t>2</w:t>
                  </w:r>
                  <w:r>
                    <w:rPr>
                      <w:rFonts w:hint="eastAsia" w:ascii="Times New Roman" w:hAnsi="Times New Roman"/>
                      <w:color w:val="auto"/>
                      <w:kern w:val="0"/>
                      <w:sz w:val="21"/>
                      <w:szCs w:val="21"/>
                      <w:lang w:val="en-US" w:eastAsia="zh-CN"/>
                    </w:rPr>
                    <w:t>个</w:t>
                  </w:r>
                </w:p>
              </w:tc>
              <w:tc>
                <w:tcPr>
                  <w:tcW w:w="767"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2</w:t>
                  </w:r>
                  <w:r>
                    <w:rPr>
                      <w:rFonts w:ascii="Times New Roman" w:hAnsi="Times New Roman"/>
                      <w:color w:val="auto"/>
                      <w:sz w:val="21"/>
                      <w:szCs w:val="21"/>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109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切粒机</w:t>
                  </w:r>
                </w:p>
              </w:tc>
              <w:tc>
                <w:tcPr>
                  <w:tcW w:w="113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kern w:val="0"/>
                      <w:sz w:val="21"/>
                      <w:szCs w:val="21"/>
                    </w:rPr>
                    <w:t>/</w:t>
                  </w:r>
                </w:p>
              </w:tc>
              <w:tc>
                <w:tcPr>
                  <w:tcW w:w="638"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4</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w:t>
                  </w:r>
                  <w:r>
                    <w:rPr>
                      <w:rFonts w:hint="eastAsia"/>
                      <w:color w:val="auto"/>
                      <w:kern w:val="0"/>
                      <w:sz w:val="21"/>
                      <w:szCs w:val="21"/>
                    </w:rPr>
                    <w:t>1</w:t>
                  </w:r>
                  <w:r>
                    <w:rPr>
                      <w:rFonts w:ascii="Times New Roman" w:hAnsi="Times New Roman"/>
                      <w:color w:val="auto"/>
                      <w:kern w:val="0"/>
                      <w:sz w:val="21"/>
                      <w:szCs w:val="21"/>
                    </w:rPr>
                    <w:t>台</w:t>
                  </w:r>
                </w:p>
              </w:tc>
              <w:tc>
                <w:tcPr>
                  <w:tcW w:w="767"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109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颗粒料灌装机</w:t>
                  </w:r>
                </w:p>
              </w:tc>
              <w:tc>
                <w:tcPr>
                  <w:tcW w:w="113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2吨</w:t>
                  </w:r>
                </w:p>
              </w:tc>
              <w:tc>
                <w:tcPr>
                  <w:tcW w:w="63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0</w:t>
                  </w:r>
                </w:p>
              </w:tc>
              <w:tc>
                <w:tcPr>
                  <w:tcW w:w="76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1097" w:type="pct"/>
                  <w:noWrap w:val="0"/>
                  <w:vAlign w:val="center"/>
                </w:tcPr>
                <w:p>
                  <w:pPr>
                    <w:widowControl/>
                    <w:spacing w:line="240" w:lineRule="auto"/>
                    <w:jc w:val="center"/>
                    <w:rPr>
                      <w:rFonts w:ascii="Times New Roman" w:hAnsi="Times New Roman"/>
                      <w:color w:val="auto"/>
                      <w:kern w:val="0"/>
                      <w:sz w:val="21"/>
                      <w:szCs w:val="21"/>
                      <w:lang w:val="en-US" w:eastAsia="zh-CN" w:bidi="ar-SA"/>
                    </w:rPr>
                  </w:pPr>
                  <w:r>
                    <w:rPr>
                      <w:rFonts w:ascii="Times New Roman" w:hAnsi="Times New Roman"/>
                      <w:color w:val="auto"/>
                      <w:kern w:val="0"/>
                      <w:sz w:val="21"/>
                      <w:szCs w:val="21"/>
                    </w:rPr>
                    <w:t>拉丝机</w:t>
                  </w:r>
                </w:p>
              </w:tc>
              <w:tc>
                <w:tcPr>
                  <w:tcW w:w="1136" w:type="pct"/>
                  <w:noWrap w:val="0"/>
                  <w:vAlign w:val="center"/>
                </w:tcPr>
                <w:p>
                  <w:pPr>
                    <w:widowControl/>
                    <w:spacing w:line="240" w:lineRule="auto"/>
                    <w:jc w:val="center"/>
                    <w:rPr>
                      <w:rFonts w:ascii="Times New Roman" w:hAnsi="Times New Roman"/>
                      <w:color w:val="auto"/>
                      <w:kern w:val="0"/>
                      <w:sz w:val="21"/>
                      <w:szCs w:val="21"/>
                      <w:lang w:val="en-US" w:eastAsia="zh-CN" w:bidi="ar-SA"/>
                    </w:rPr>
                  </w:pPr>
                  <w:r>
                    <w:rPr>
                      <w:rFonts w:hint="eastAsia"/>
                      <w:color w:val="auto"/>
                      <w:kern w:val="0"/>
                      <w:sz w:val="21"/>
                      <w:szCs w:val="21"/>
                    </w:rPr>
                    <w:t>4.2/3/2.4</w:t>
                  </w:r>
                  <w:r>
                    <w:rPr>
                      <w:rFonts w:ascii="Times New Roman" w:hAnsi="Times New Roman"/>
                      <w:color w:val="auto"/>
                      <w:kern w:val="0"/>
                      <w:sz w:val="21"/>
                      <w:szCs w:val="21"/>
                    </w:rPr>
                    <w:t>×</w:t>
                  </w:r>
                  <w:r>
                    <w:rPr>
                      <w:rFonts w:hint="eastAsia"/>
                      <w:color w:val="auto"/>
                      <w:kern w:val="0"/>
                      <w:sz w:val="21"/>
                      <w:szCs w:val="21"/>
                    </w:rPr>
                    <w:t>0.8</w:t>
                  </w:r>
                  <w:r>
                    <w:rPr>
                      <w:rFonts w:ascii="Times New Roman" w:hAnsi="Times New Roman"/>
                      <w:color w:val="auto"/>
                      <w:kern w:val="0"/>
                      <w:sz w:val="21"/>
                      <w:szCs w:val="21"/>
                    </w:rPr>
                    <w:t>×</w:t>
                  </w:r>
                  <w:r>
                    <w:rPr>
                      <w:rFonts w:hint="eastAsia"/>
                      <w:color w:val="auto"/>
                      <w:kern w:val="0"/>
                      <w:sz w:val="21"/>
                      <w:szCs w:val="21"/>
                    </w:rPr>
                    <w:t>0.3</w:t>
                  </w:r>
                </w:p>
              </w:tc>
              <w:tc>
                <w:tcPr>
                  <w:tcW w:w="638" w:type="pct"/>
                  <w:noWrap w:val="0"/>
                  <w:vAlign w:val="center"/>
                </w:tcPr>
                <w:p>
                  <w:pPr>
                    <w:widowControl/>
                    <w:spacing w:line="240" w:lineRule="auto"/>
                    <w:jc w:val="center"/>
                    <w:rPr>
                      <w:rFonts w:ascii="Times New Roman" w:hAnsi="Times New Roman"/>
                      <w:color w:val="auto"/>
                      <w:kern w:val="0"/>
                      <w:sz w:val="21"/>
                      <w:szCs w:val="21"/>
                      <w:lang w:val="en-US" w:eastAsia="zh-CN" w:bidi="ar-SA"/>
                    </w:rPr>
                  </w:pPr>
                  <w:r>
                    <w:rPr>
                      <w:rFonts w:ascii="Times New Roman" w:hAnsi="Times New Roman"/>
                      <w:color w:val="auto"/>
                      <w:kern w:val="0"/>
                      <w:sz w:val="21"/>
                      <w:szCs w:val="21"/>
                    </w:rPr>
                    <w:t>3台</w:t>
                  </w:r>
                </w:p>
              </w:tc>
              <w:tc>
                <w:tcPr>
                  <w:tcW w:w="868" w:type="pct"/>
                  <w:noWrap w:val="0"/>
                  <w:vAlign w:val="center"/>
                </w:tcPr>
                <w:p>
                  <w:pPr>
                    <w:widowControl/>
                    <w:spacing w:line="240" w:lineRule="auto"/>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lang w:val="en-US" w:eastAsia="zh-CN"/>
                    </w:rPr>
                    <w:t>0</w:t>
                  </w:r>
                </w:p>
              </w:tc>
              <w:tc>
                <w:tcPr>
                  <w:tcW w:w="767" w:type="pct"/>
                  <w:noWrap w:val="0"/>
                  <w:vAlign w:val="center"/>
                </w:tcPr>
                <w:p>
                  <w:pPr>
                    <w:widowControl/>
                    <w:spacing w:line="240" w:lineRule="auto"/>
                    <w:jc w:val="center"/>
                    <w:rPr>
                      <w:rFonts w:ascii="Times New Roman" w:hAnsi="Times New Roman"/>
                      <w:color w:val="auto"/>
                      <w:kern w:val="0"/>
                      <w:sz w:val="21"/>
                      <w:szCs w:val="21"/>
                      <w:lang w:val="en-US" w:eastAsia="zh-CN" w:bidi="ar-SA"/>
                    </w:rPr>
                  </w:pPr>
                  <w:r>
                    <w:rPr>
                      <w:rFonts w:ascii="Times New Roman" w:hAnsi="Times New Roman"/>
                      <w:color w:val="auto"/>
                      <w:kern w:val="0"/>
                      <w:sz w:val="21"/>
                      <w:szCs w:val="21"/>
                    </w:rPr>
                    <w:t>3台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14</w:t>
                  </w:r>
                </w:p>
              </w:tc>
              <w:tc>
                <w:tcPr>
                  <w:tcW w:w="1097" w:type="pct"/>
                  <w:noWrap w:val="0"/>
                  <w:vAlign w:val="center"/>
                </w:tcPr>
                <w:p>
                  <w:pPr>
                    <w:widowControl/>
                    <w:spacing w:line="240" w:lineRule="auto"/>
                    <w:jc w:val="center"/>
                    <w:rPr>
                      <w:rFonts w:ascii="Times New Roman" w:hAnsi="Times New Roman"/>
                      <w:color w:val="auto"/>
                      <w:kern w:val="0"/>
                      <w:sz w:val="21"/>
                      <w:szCs w:val="21"/>
                      <w:lang w:val="en-US" w:eastAsia="zh-CN" w:bidi="ar-SA"/>
                    </w:rPr>
                  </w:pPr>
                  <w:r>
                    <w:rPr>
                      <w:rFonts w:ascii="Times New Roman" w:hAnsi="Times New Roman"/>
                      <w:color w:val="auto"/>
                      <w:kern w:val="0"/>
                      <w:sz w:val="21"/>
                      <w:szCs w:val="21"/>
                    </w:rPr>
                    <w:t>冷却塔</w:t>
                  </w:r>
                </w:p>
              </w:tc>
              <w:tc>
                <w:tcPr>
                  <w:tcW w:w="1136" w:type="pct"/>
                  <w:noWrap w:val="0"/>
                  <w:vAlign w:val="center"/>
                </w:tcPr>
                <w:p>
                  <w:pPr>
                    <w:widowControl/>
                    <w:spacing w:line="240" w:lineRule="auto"/>
                    <w:jc w:val="center"/>
                    <w:rPr>
                      <w:rFonts w:ascii="Times New Roman" w:hAnsi="Times New Roman"/>
                      <w:color w:val="auto"/>
                      <w:kern w:val="0"/>
                      <w:sz w:val="21"/>
                      <w:szCs w:val="21"/>
                      <w:lang w:val="en-US" w:eastAsia="zh-CN" w:bidi="ar-SA"/>
                    </w:rPr>
                  </w:pPr>
                  <w:r>
                    <w:rPr>
                      <w:rFonts w:hint="eastAsia"/>
                      <w:color w:val="auto"/>
                      <w:kern w:val="0"/>
                      <w:sz w:val="21"/>
                      <w:szCs w:val="21"/>
                    </w:rPr>
                    <w:t>120m</w:t>
                  </w:r>
                  <w:r>
                    <w:rPr>
                      <w:rFonts w:hint="eastAsia"/>
                      <w:color w:val="auto"/>
                      <w:kern w:val="0"/>
                      <w:sz w:val="21"/>
                      <w:szCs w:val="21"/>
                      <w:vertAlign w:val="superscript"/>
                    </w:rPr>
                    <w:t>3</w:t>
                  </w:r>
                  <w:r>
                    <w:rPr>
                      <w:rFonts w:hint="eastAsia"/>
                      <w:color w:val="auto"/>
                      <w:kern w:val="0"/>
                      <w:sz w:val="21"/>
                      <w:szCs w:val="21"/>
                    </w:rPr>
                    <w:t>/h</w:t>
                  </w:r>
                </w:p>
              </w:tc>
              <w:tc>
                <w:tcPr>
                  <w:tcW w:w="638" w:type="pct"/>
                  <w:noWrap w:val="0"/>
                  <w:vAlign w:val="center"/>
                </w:tcPr>
                <w:p>
                  <w:pPr>
                    <w:widowControl/>
                    <w:spacing w:line="240" w:lineRule="auto"/>
                    <w:jc w:val="center"/>
                    <w:rPr>
                      <w:rFonts w:ascii="Times New Roman" w:hAnsi="Times New Roman"/>
                      <w:color w:val="auto"/>
                      <w:kern w:val="0"/>
                      <w:sz w:val="21"/>
                      <w:szCs w:val="21"/>
                      <w:lang w:val="en-US" w:eastAsia="zh-CN" w:bidi="ar-SA"/>
                    </w:rPr>
                  </w:pPr>
                  <w:r>
                    <w:rPr>
                      <w:rFonts w:hint="eastAsia"/>
                      <w:color w:val="auto"/>
                      <w:kern w:val="0"/>
                      <w:sz w:val="21"/>
                      <w:szCs w:val="21"/>
                    </w:rPr>
                    <w:t>1</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lang w:val="en-US" w:eastAsia="zh-CN"/>
                    </w:rPr>
                    <w:t>0</w:t>
                  </w:r>
                </w:p>
              </w:tc>
              <w:tc>
                <w:tcPr>
                  <w:tcW w:w="767" w:type="pct"/>
                  <w:noWrap w:val="0"/>
                  <w:vAlign w:val="center"/>
                </w:tcPr>
                <w:p>
                  <w:pPr>
                    <w:widowControl/>
                    <w:spacing w:line="240" w:lineRule="auto"/>
                    <w:jc w:val="center"/>
                    <w:rPr>
                      <w:rFonts w:ascii="Times New Roman" w:hAnsi="Times New Roman"/>
                      <w:color w:val="auto"/>
                      <w:kern w:val="0"/>
                      <w:sz w:val="21"/>
                      <w:szCs w:val="21"/>
                      <w:lang w:val="en-US" w:eastAsia="zh-CN" w:bidi="ar-SA"/>
                    </w:rPr>
                  </w:pPr>
                  <w:r>
                    <w:rPr>
                      <w:rFonts w:hint="eastAsia"/>
                      <w:color w:val="auto"/>
                      <w:kern w:val="0"/>
                      <w:sz w:val="21"/>
                      <w:szCs w:val="21"/>
                    </w:rPr>
                    <w:t>1</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15</w:t>
                  </w:r>
                </w:p>
              </w:tc>
              <w:tc>
                <w:tcPr>
                  <w:tcW w:w="1097" w:type="pct"/>
                  <w:noWrap w:val="0"/>
                  <w:vAlign w:val="center"/>
                </w:tcPr>
                <w:p>
                  <w:pPr>
                    <w:widowControl/>
                    <w:spacing w:line="240" w:lineRule="auto"/>
                    <w:jc w:val="center"/>
                    <w:rPr>
                      <w:rFonts w:ascii="Times New Roman" w:hAnsi="Times New Roman"/>
                      <w:color w:val="auto"/>
                      <w:kern w:val="0"/>
                      <w:sz w:val="21"/>
                      <w:szCs w:val="21"/>
                      <w:lang w:val="en-US" w:eastAsia="zh-CN" w:bidi="ar-SA"/>
                    </w:rPr>
                  </w:pPr>
                  <w:r>
                    <w:rPr>
                      <w:rFonts w:hint="eastAsia" w:ascii="Times New Roman" w:hAnsi="Times New Roman"/>
                      <w:color w:val="auto"/>
                      <w:kern w:val="0"/>
                      <w:sz w:val="21"/>
                      <w:szCs w:val="21"/>
                    </w:rPr>
                    <w:t>造粒机</w:t>
                  </w:r>
                </w:p>
              </w:tc>
              <w:tc>
                <w:tcPr>
                  <w:tcW w:w="1136" w:type="pct"/>
                  <w:noWrap w:val="0"/>
                  <w:vAlign w:val="center"/>
                </w:tcPr>
                <w:p>
                  <w:pPr>
                    <w:widowControl/>
                    <w:spacing w:line="240" w:lineRule="auto"/>
                    <w:jc w:val="center"/>
                    <w:rPr>
                      <w:color w:val="auto"/>
                      <w:kern w:val="0"/>
                      <w:sz w:val="21"/>
                      <w:szCs w:val="21"/>
                      <w:lang w:val="en-US" w:eastAsia="zh-CN" w:bidi="ar-SA"/>
                    </w:rPr>
                  </w:pPr>
                  <w:r>
                    <w:rPr>
                      <w:rFonts w:hint="eastAsia"/>
                      <w:color w:val="auto"/>
                      <w:kern w:val="0"/>
                      <w:sz w:val="21"/>
                      <w:szCs w:val="21"/>
                    </w:rPr>
                    <w:t>SJSZ-45</w:t>
                  </w:r>
                </w:p>
              </w:tc>
              <w:tc>
                <w:tcPr>
                  <w:tcW w:w="638" w:type="pct"/>
                  <w:noWrap w:val="0"/>
                  <w:vAlign w:val="center"/>
                </w:tcPr>
                <w:p>
                  <w:pPr>
                    <w:widowControl/>
                    <w:spacing w:line="240" w:lineRule="auto"/>
                    <w:jc w:val="center"/>
                    <w:rPr>
                      <w:rFonts w:ascii="Times New Roman" w:hAnsi="Times New Roman"/>
                      <w:color w:val="auto"/>
                      <w:kern w:val="0"/>
                      <w:sz w:val="21"/>
                      <w:szCs w:val="21"/>
                      <w:lang w:val="en-US" w:eastAsia="zh-CN" w:bidi="ar-SA"/>
                    </w:rPr>
                  </w:pPr>
                  <w:r>
                    <w:rPr>
                      <w:rFonts w:hint="eastAsia"/>
                      <w:color w:val="auto"/>
                      <w:kern w:val="0"/>
                      <w:sz w:val="21"/>
                      <w:szCs w:val="21"/>
                    </w:rPr>
                    <w:t>1</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lang w:val="en-US" w:eastAsia="zh-CN"/>
                    </w:rPr>
                    <w:t>0</w:t>
                  </w:r>
                </w:p>
              </w:tc>
              <w:tc>
                <w:tcPr>
                  <w:tcW w:w="767" w:type="pct"/>
                  <w:noWrap w:val="0"/>
                  <w:vAlign w:val="center"/>
                </w:tcPr>
                <w:p>
                  <w:pPr>
                    <w:widowControl/>
                    <w:spacing w:line="240" w:lineRule="auto"/>
                    <w:jc w:val="center"/>
                    <w:rPr>
                      <w:rFonts w:hint="eastAsia"/>
                      <w:color w:val="auto"/>
                      <w:kern w:val="0"/>
                      <w:sz w:val="21"/>
                      <w:szCs w:val="21"/>
                      <w:lang w:val="en-US" w:eastAsia="zh-CN" w:bidi="ar-SA"/>
                    </w:rPr>
                  </w:pPr>
                  <w:r>
                    <w:rPr>
                      <w:rFonts w:hint="eastAsia"/>
                      <w:color w:val="auto"/>
                      <w:kern w:val="0"/>
                      <w:sz w:val="21"/>
                      <w:szCs w:val="21"/>
                    </w:rPr>
                    <w:t>1</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widowControl/>
                    <w:spacing w:line="240" w:lineRule="auto"/>
                    <w:jc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16</w:t>
                  </w:r>
                </w:p>
              </w:tc>
              <w:tc>
                <w:tcPr>
                  <w:tcW w:w="1097" w:type="pct"/>
                  <w:noWrap w:val="0"/>
                  <w:vAlign w:val="center"/>
                </w:tcPr>
                <w:p>
                  <w:pPr>
                    <w:spacing w:line="240" w:lineRule="auto"/>
                    <w:jc w:val="center"/>
                    <w:rPr>
                      <w:rFonts w:hint="eastAsia" w:ascii="Times New Roman" w:hAnsi="Times New Roman"/>
                      <w:color w:val="auto"/>
                      <w:kern w:val="2"/>
                      <w:sz w:val="21"/>
                      <w:szCs w:val="21"/>
                      <w:lang w:val="en-US" w:eastAsia="zh-CN" w:bidi="ar-SA"/>
                    </w:rPr>
                  </w:pPr>
                  <w:r>
                    <w:rPr>
                      <w:rFonts w:ascii="Times New Roman" w:hAnsi="Times New Roman"/>
                      <w:color w:val="auto"/>
                      <w:sz w:val="21"/>
                      <w:szCs w:val="21"/>
                    </w:rPr>
                    <w:t>烧网机</w:t>
                  </w:r>
                </w:p>
              </w:tc>
              <w:tc>
                <w:tcPr>
                  <w:tcW w:w="1136" w:type="pct"/>
                  <w:noWrap w:val="0"/>
                  <w:vAlign w:val="center"/>
                </w:tcPr>
                <w:p>
                  <w:pPr>
                    <w:spacing w:line="240" w:lineRule="auto"/>
                    <w:jc w:val="center"/>
                    <w:rPr>
                      <w:rFonts w:hint="eastAsia" w:ascii="Times New Roman" w:hAnsi="Times New Roman"/>
                      <w:color w:val="auto"/>
                      <w:kern w:val="2"/>
                      <w:sz w:val="21"/>
                      <w:szCs w:val="21"/>
                      <w:lang w:val="en-US" w:eastAsia="zh-CN" w:bidi="ar-SA"/>
                    </w:rPr>
                  </w:pPr>
                  <w:r>
                    <w:rPr>
                      <w:rFonts w:ascii="Times New Roman" w:hAnsi="Times New Roman"/>
                      <w:color w:val="auto"/>
                      <w:kern w:val="0"/>
                      <w:sz w:val="21"/>
                      <w:szCs w:val="21"/>
                    </w:rPr>
                    <w:t>/</w:t>
                  </w:r>
                </w:p>
              </w:tc>
              <w:tc>
                <w:tcPr>
                  <w:tcW w:w="638" w:type="pct"/>
                  <w:noWrap w:val="0"/>
                  <w:vAlign w:val="center"/>
                </w:tcPr>
                <w:p>
                  <w:pPr>
                    <w:spacing w:line="240" w:lineRule="auto"/>
                    <w:jc w:val="center"/>
                    <w:rPr>
                      <w:rFonts w:hint="eastAsia" w:ascii="Times New Roman" w:hAnsi="Times New Roman"/>
                      <w:color w:val="auto"/>
                      <w:kern w:val="2"/>
                      <w:sz w:val="21"/>
                      <w:szCs w:val="21"/>
                      <w:lang w:val="en-US" w:eastAsia="zh-CN" w:bidi="ar-SA"/>
                    </w:rPr>
                  </w:pPr>
                  <w:r>
                    <w:rPr>
                      <w:rFonts w:ascii="Times New Roman" w:hAnsi="Times New Roman"/>
                      <w:color w:val="auto"/>
                      <w:sz w:val="21"/>
                      <w:szCs w:val="21"/>
                    </w:rPr>
                    <w:t>2</w:t>
                  </w:r>
                  <w:r>
                    <w:rPr>
                      <w:rFonts w:ascii="Times New Roman" w:hAnsi="Times New Roman"/>
                      <w:color w:val="auto"/>
                      <w:kern w:val="0"/>
                      <w:sz w:val="21"/>
                      <w:szCs w:val="21"/>
                    </w:rPr>
                    <w:t>台</w:t>
                  </w:r>
                </w:p>
              </w:tc>
              <w:tc>
                <w:tcPr>
                  <w:tcW w:w="868" w:type="pct"/>
                  <w:noWrap w:val="0"/>
                  <w:vAlign w:val="center"/>
                </w:tcPr>
                <w:p>
                  <w:pPr>
                    <w:widowControl/>
                    <w:spacing w:line="240" w:lineRule="auto"/>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lang w:val="en-US" w:eastAsia="zh-CN"/>
                    </w:rPr>
                    <w:t>-</w:t>
                  </w:r>
                  <w:r>
                    <w:rPr>
                      <w:rFonts w:ascii="Times New Roman" w:hAnsi="Times New Roman"/>
                      <w:color w:val="auto"/>
                      <w:sz w:val="21"/>
                      <w:szCs w:val="21"/>
                    </w:rPr>
                    <w:t>2</w:t>
                  </w:r>
                  <w:r>
                    <w:rPr>
                      <w:rFonts w:ascii="Times New Roman" w:hAnsi="Times New Roman"/>
                      <w:color w:val="auto"/>
                      <w:kern w:val="0"/>
                      <w:sz w:val="21"/>
                      <w:szCs w:val="21"/>
                    </w:rPr>
                    <w:t>台</w:t>
                  </w:r>
                </w:p>
              </w:tc>
              <w:tc>
                <w:tcPr>
                  <w:tcW w:w="767" w:type="pct"/>
                  <w:noWrap w:val="0"/>
                  <w:vAlign w:val="center"/>
                </w:tcPr>
                <w:p>
                  <w:pPr>
                    <w:spacing w:line="240" w:lineRule="auto"/>
                    <w:jc w:val="center"/>
                    <w:rPr>
                      <w:rFonts w:hint="eastAsia"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92" w:type="pct"/>
                  <w:noWrap w:val="0"/>
                  <w:vAlign w:val="center"/>
                </w:tcPr>
                <w:p>
                  <w:pPr>
                    <w:widowControl/>
                    <w:spacing w:line="240" w:lineRule="auto"/>
                    <w:jc w:val="center"/>
                    <w:rPr>
                      <w:rFonts w:hint="eastAsia" w:ascii="Times New Roman" w:hAnsi="Times New Roman" w:eastAsia="宋体"/>
                      <w:color w:val="auto"/>
                      <w:kern w:val="0"/>
                      <w:sz w:val="21"/>
                      <w:szCs w:val="21"/>
                      <w:lang w:eastAsia="zh-CN"/>
                    </w:rPr>
                  </w:pPr>
                  <w:r>
                    <w:rPr>
                      <w:rFonts w:hint="eastAsia" w:ascii="Times New Roman" w:hAnsi="Times New Roman"/>
                      <w:b/>
                      <w:bCs/>
                      <w:color w:val="auto"/>
                      <w:kern w:val="0"/>
                      <w:sz w:val="21"/>
                      <w:szCs w:val="21"/>
                    </w:rPr>
                    <w:t>1</w:t>
                  </w:r>
                  <w:r>
                    <w:rPr>
                      <w:rFonts w:hint="eastAsia" w:ascii="Times New Roman" w:hAnsi="Times New Roman"/>
                      <w:b/>
                      <w:bCs/>
                      <w:color w:val="auto"/>
                      <w:kern w:val="0"/>
                      <w:sz w:val="21"/>
                      <w:szCs w:val="21"/>
                      <w:lang w:val="en-US" w:eastAsia="zh-CN"/>
                    </w:rPr>
                    <w:t>7</w:t>
                  </w:r>
                </w:p>
              </w:tc>
              <w:tc>
                <w:tcPr>
                  <w:tcW w:w="1097" w:type="pct"/>
                  <w:noWrap w:val="0"/>
                  <w:vAlign w:val="center"/>
                </w:tcPr>
                <w:p>
                  <w:pPr>
                    <w:widowControl/>
                    <w:spacing w:line="240" w:lineRule="auto"/>
                    <w:jc w:val="center"/>
                    <w:rPr>
                      <w:rFonts w:hint="eastAsia" w:ascii="Times New Roman" w:hAnsi="Times New Roman" w:eastAsia="宋体"/>
                      <w:b/>
                      <w:bCs/>
                      <w:color w:val="auto"/>
                      <w:kern w:val="0"/>
                      <w:sz w:val="21"/>
                      <w:szCs w:val="21"/>
                      <w:lang w:val="en-US" w:eastAsia="zh-CN" w:bidi="ar-SA"/>
                    </w:rPr>
                  </w:pPr>
                  <w:r>
                    <w:rPr>
                      <w:rFonts w:hint="eastAsia" w:ascii="Times New Roman" w:hAnsi="Times New Roman"/>
                      <w:b/>
                      <w:bCs/>
                      <w:color w:val="auto"/>
                      <w:kern w:val="0"/>
                      <w:sz w:val="21"/>
                      <w:szCs w:val="21"/>
                      <w:lang w:val="en-US" w:eastAsia="zh-CN"/>
                    </w:rPr>
                    <w:t>圆织机</w:t>
                  </w:r>
                </w:p>
              </w:tc>
              <w:tc>
                <w:tcPr>
                  <w:tcW w:w="1136" w:type="pct"/>
                  <w:noWrap w:val="0"/>
                  <w:vAlign w:val="center"/>
                </w:tcPr>
                <w:p>
                  <w:pPr>
                    <w:widowControl/>
                    <w:spacing w:line="240" w:lineRule="auto"/>
                    <w:jc w:val="center"/>
                    <w:rPr>
                      <w:rFonts w:hint="eastAsia"/>
                      <w:b/>
                      <w:bCs/>
                      <w:color w:val="auto"/>
                      <w:kern w:val="0"/>
                      <w:sz w:val="21"/>
                      <w:szCs w:val="21"/>
                      <w:lang w:val="en-US" w:eastAsia="zh-CN" w:bidi="ar-SA"/>
                    </w:rPr>
                  </w:pPr>
                  <w:r>
                    <w:rPr>
                      <w:rFonts w:hint="eastAsia" w:ascii="宋体" w:hAnsi="宋体" w:eastAsia="宋体"/>
                      <w:b/>
                      <w:bCs/>
                      <w:color w:val="auto"/>
                      <w:szCs w:val="21"/>
                      <w:lang w:val="en-US" w:eastAsia="zh-CN"/>
                    </w:rPr>
                    <w:t>电机4KW</w:t>
                  </w:r>
                </w:p>
              </w:tc>
              <w:tc>
                <w:tcPr>
                  <w:tcW w:w="638" w:type="pct"/>
                  <w:noWrap w:val="0"/>
                  <w:vAlign w:val="center"/>
                </w:tcPr>
                <w:p>
                  <w:pPr>
                    <w:widowControl/>
                    <w:spacing w:line="240" w:lineRule="auto"/>
                    <w:jc w:val="center"/>
                    <w:rPr>
                      <w:rFonts w:hint="eastAsia" w:eastAsia="宋体"/>
                      <w:b/>
                      <w:bCs/>
                      <w:color w:val="auto"/>
                      <w:kern w:val="0"/>
                      <w:sz w:val="21"/>
                      <w:szCs w:val="21"/>
                      <w:lang w:val="en-US" w:eastAsia="zh-CN" w:bidi="ar-SA"/>
                    </w:rPr>
                  </w:pPr>
                  <w:r>
                    <w:rPr>
                      <w:rFonts w:hint="eastAsia"/>
                      <w:b/>
                      <w:bCs/>
                      <w:color w:val="auto"/>
                      <w:kern w:val="0"/>
                      <w:sz w:val="21"/>
                      <w:szCs w:val="21"/>
                      <w:lang w:val="en-US" w:eastAsia="zh-CN"/>
                    </w:rPr>
                    <w:t>0</w:t>
                  </w:r>
                </w:p>
              </w:tc>
              <w:tc>
                <w:tcPr>
                  <w:tcW w:w="868" w:type="pct"/>
                  <w:noWrap w:val="0"/>
                  <w:vAlign w:val="center"/>
                </w:tcPr>
                <w:p>
                  <w:pPr>
                    <w:widowControl/>
                    <w:spacing w:line="240" w:lineRule="auto"/>
                    <w:jc w:val="center"/>
                    <w:rPr>
                      <w:rFonts w:hint="eastAsia" w:ascii="Times New Roman" w:hAnsi="Times New Roman"/>
                      <w:b/>
                      <w:bCs/>
                      <w:color w:val="auto"/>
                      <w:kern w:val="0"/>
                      <w:sz w:val="21"/>
                      <w:szCs w:val="21"/>
                      <w:lang w:val="en-US" w:eastAsia="zh-CN" w:bidi="ar-SA"/>
                    </w:rPr>
                  </w:pPr>
                  <w:r>
                    <w:rPr>
                      <w:rFonts w:hint="eastAsia" w:ascii="Times New Roman" w:hAnsi="Times New Roman"/>
                      <w:b/>
                      <w:bCs/>
                      <w:color w:val="auto"/>
                      <w:kern w:val="0"/>
                      <w:sz w:val="21"/>
                      <w:szCs w:val="21"/>
                      <w:lang w:val="en-US" w:eastAsia="zh-CN"/>
                    </w:rPr>
                    <w:t>+150台</w:t>
                  </w:r>
                </w:p>
              </w:tc>
              <w:tc>
                <w:tcPr>
                  <w:tcW w:w="767" w:type="pct"/>
                  <w:noWrap w:val="0"/>
                  <w:vAlign w:val="center"/>
                </w:tcPr>
                <w:p>
                  <w:pPr>
                    <w:widowControl/>
                    <w:spacing w:line="240" w:lineRule="auto"/>
                    <w:jc w:val="center"/>
                    <w:rPr>
                      <w:rFonts w:hint="eastAsia" w:eastAsia="宋体"/>
                      <w:b/>
                      <w:bCs/>
                      <w:color w:val="auto"/>
                      <w:kern w:val="0"/>
                      <w:sz w:val="21"/>
                      <w:szCs w:val="21"/>
                      <w:lang w:val="en-US" w:eastAsia="zh-CN" w:bidi="ar-SA"/>
                    </w:rPr>
                  </w:pPr>
                  <w:r>
                    <w:rPr>
                      <w:rFonts w:hint="eastAsia"/>
                      <w:b/>
                      <w:bCs/>
                      <w:color w:val="auto"/>
                      <w:kern w:val="0"/>
                      <w:sz w:val="21"/>
                      <w:szCs w:val="21"/>
                      <w:lang w:val="en-US" w:eastAsia="zh-CN"/>
                    </w:rPr>
                    <w:t>150台</w:t>
                  </w:r>
                </w:p>
              </w:tc>
            </w:tr>
          </w:tbl>
          <w:p>
            <w:pPr>
              <w:pStyle w:val="69"/>
              <w:spacing w:line="360" w:lineRule="auto"/>
              <w:ind w:left="0" w:leftChars="0" w:firstLine="0" w:firstLineChars="0"/>
              <w:rPr>
                <w:b/>
                <w:color w:val="auto"/>
                <w:sz w:val="24"/>
                <w:szCs w:val="24"/>
              </w:rPr>
            </w:pPr>
            <w:r>
              <w:rPr>
                <w:b/>
                <w:color w:val="auto"/>
                <w:sz w:val="24"/>
                <w:szCs w:val="24"/>
              </w:rPr>
              <w:t>六</w:t>
            </w:r>
            <w:r>
              <w:rPr>
                <w:rFonts w:hint="eastAsia"/>
                <w:b/>
                <w:color w:val="auto"/>
                <w:sz w:val="24"/>
                <w:szCs w:val="24"/>
                <w:lang w:eastAsia="zh-CN"/>
              </w:rPr>
              <w:t>、</w:t>
            </w:r>
            <w:r>
              <w:rPr>
                <w:b/>
                <w:color w:val="auto"/>
                <w:sz w:val="24"/>
                <w:szCs w:val="24"/>
              </w:rPr>
              <w:t>公用工程及辅助工程</w:t>
            </w:r>
          </w:p>
          <w:p>
            <w:pPr>
              <w:keepNext w:val="0"/>
              <w:keepLines w:val="0"/>
              <w:pageBreakBefore w:val="0"/>
              <w:widowControl w:val="0"/>
              <w:kinsoku/>
              <w:wordWrap/>
              <w:overflowPunct/>
              <w:topLinePunct w:val="0"/>
              <w:autoSpaceDE/>
              <w:autoSpaceDN/>
              <w:bidi w:val="0"/>
              <w:adjustRightInd w:val="0"/>
              <w:spacing w:afterAutospacing="0" w:line="360" w:lineRule="auto"/>
              <w:ind w:firstLine="482" w:firstLineChars="200"/>
              <w:textAlignment w:val="auto"/>
              <w:rPr>
                <w:rFonts w:ascii="Times New Roman" w:hAnsi="Times New Roman"/>
                <w:b/>
                <w:color w:val="auto"/>
                <w:sz w:val="24"/>
                <w:szCs w:val="24"/>
              </w:rPr>
            </w:pPr>
            <w:r>
              <w:rPr>
                <w:rFonts w:ascii="Times New Roman" w:hAnsi="Times New Roman"/>
                <w:b/>
                <w:color w:val="auto"/>
                <w:sz w:val="24"/>
                <w:szCs w:val="24"/>
              </w:rPr>
              <w:t>1、</w:t>
            </w:r>
            <w:r>
              <w:rPr>
                <w:rFonts w:hint="eastAsia" w:ascii="Times New Roman" w:hAnsi="Times New Roman"/>
                <w:b/>
                <w:color w:val="auto"/>
                <w:sz w:val="24"/>
                <w:szCs w:val="24"/>
              </w:rPr>
              <w:t>给</w:t>
            </w:r>
            <w:r>
              <w:rPr>
                <w:rFonts w:ascii="Times New Roman" w:hAnsi="Times New Roman"/>
                <w:b/>
                <w:color w:val="auto"/>
                <w:sz w:val="24"/>
                <w:szCs w:val="24"/>
              </w:rPr>
              <w:t>水</w:t>
            </w:r>
          </w:p>
          <w:p>
            <w:pPr>
              <w:keepNext w:val="0"/>
              <w:keepLines w:val="0"/>
              <w:pageBreakBefore w:val="0"/>
              <w:widowControl w:val="0"/>
              <w:kinsoku/>
              <w:wordWrap/>
              <w:overflowPunct/>
              <w:topLinePunct w:val="0"/>
              <w:autoSpaceDE/>
              <w:autoSpaceDN/>
              <w:bidi w:val="0"/>
              <w:adjustRightInd w:val="0"/>
              <w:spacing w:afterAutospacing="0" w:line="360" w:lineRule="auto"/>
              <w:ind w:firstLine="480" w:firstLineChars="200"/>
              <w:textAlignment w:val="auto"/>
              <w:rPr>
                <w:rFonts w:hint="eastAsia" w:ascii="Times New Roman" w:hAnsi="Times New Roman"/>
                <w:color w:val="auto"/>
                <w:sz w:val="24"/>
                <w:szCs w:val="24"/>
              </w:rPr>
            </w:pPr>
            <w:r>
              <w:rPr>
                <w:rFonts w:hint="eastAsia"/>
                <w:color w:val="auto"/>
                <w:sz w:val="24"/>
                <w:szCs w:val="24"/>
              </w:rPr>
              <w:t>本项目生产用水</w:t>
            </w:r>
            <w:r>
              <w:rPr>
                <w:rFonts w:hint="eastAsia"/>
                <w:color w:val="auto"/>
                <w:sz w:val="24"/>
                <w:szCs w:val="24"/>
                <w:lang w:val="en-US" w:eastAsia="zh-CN"/>
              </w:rPr>
              <w:t>主要</w:t>
            </w:r>
            <w:r>
              <w:rPr>
                <w:rFonts w:hint="eastAsia"/>
                <w:color w:val="auto"/>
                <w:sz w:val="24"/>
                <w:szCs w:val="24"/>
              </w:rPr>
              <w:t>为废塑料清洗用水、喷淋用水、冷却水，</w:t>
            </w:r>
            <w:r>
              <w:rPr>
                <w:rFonts w:hint="eastAsia"/>
                <w:color w:val="auto"/>
                <w:sz w:val="24"/>
                <w:szCs w:val="24"/>
                <w:lang w:val="en-US" w:eastAsia="zh-CN"/>
              </w:rPr>
              <w:t>取自地下水</w:t>
            </w:r>
            <w:r>
              <w:rPr>
                <w:rFonts w:hint="eastAsia"/>
                <w:color w:val="auto"/>
                <w:sz w:val="24"/>
                <w:szCs w:val="24"/>
              </w:rPr>
              <w:t>；</w:t>
            </w:r>
            <w:r>
              <w:rPr>
                <w:rFonts w:hint="eastAsia"/>
                <w:color w:val="auto"/>
                <w:sz w:val="24"/>
                <w:szCs w:val="24"/>
                <w:lang w:val="en-US" w:eastAsia="zh-CN"/>
              </w:rPr>
              <w:t>生活</w:t>
            </w:r>
            <w:r>
              <w:rPr>
                <w:rFonts w:hint="eastAsia"/>
                <w:color w:val="auto"/>
                <w:sz w:val="24"/>
                <w:szCs w:val="24"/>
              </w:rPr>
              <w:t>用水依托</w:t>
            </w:r>
            <w:r>
              <w:rPr>
                <w:rFonts w:hint="eastAsia"/>
                <w:color w:val="auto"/>
                <w:sz w:val="24"/>
                <w:szCs w:val="24"/>
                <w:lang w:val="en-US" w:eastAsia="zh-CN"/>
              </w:rPr>
              <w:t>园区</w:t>
            </w:r>
            <w:r>
              <w:rPr>
                <w:rFonts w:hint="eastAsia"/>
                <w:color w:val="auto"/>
                <w:sz w:val="24"/>
                <w:szCs w:val="24"/>
              </w:rPr>
              <w:t>供水系统供给。</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color w:val="auto"/>
                <w:kern w:val="0"/>
                <w:sz w:val="24"/>
                <w:szCs w:val="24"/>
                <w:lang w:val="en-US" w:eastAsia="zh-CN" w:bidi="ar"/>
              </w:rPr>
            </w:pPr>
            <w:r>
              <w:rPr>
                <w:rFonts w:hint="eastAsia" w:ascii="Times New Roman" w:hAnsi="Times New Roman" w:eastAsia="宋体" w:cs="Times New Roman"/>
                <w:color w:val="auto"/>
                <w:sz w:val="24"/>
                <w:szCs w:val="24"/>
                <w:lang w:val="en-US" w:eastAsia="zh-CN"/>
              </w:rPr>
              <w:t>本次技改项目取消1条塑料颗粒生产线，同时塑料丝生产线全部使用塑料颗粒新料，故</w:t>
            </w:r>
            <w:r>
              <w:rPr>
                <w:rFonts w:hint="default" w:ascii="Times New Roman" w:hAnsi="Times New Roman" w:eastAsia="宋体" w:cs="Times New Roman"/>
                <w:color w:val="auto"/>
                <w:sz w:val="24"/>
                <w:szCs w:val="24"/>
                <w:lang w:val="en-US" w:eastAsia="zh-CN"/>
              </w:rPr>
              <w:t>生产过程</w:t>
            </w:r>
            <w:r>
              <w:rPr>
                <w:rFonts w:hint="eastAsia" w:ascii="Times New Roman" w:hAnsi="Times New Roman" w:eastAsia="宋体" w:cs="Times New Roman"/>
                <w:color w:val="auto"/>
                <w:sz w:val="24"/>
                <w:szCs w:val="24"/>
                <w:lang w:val="en-US" w:eastAsia="zh-CN"/>
              </w:rPr>
              <w:t>废旧塑料清洗工序用水量减少。根据水平衡分析，</w:t>
            </w:r>
            <w:r>
              <w:rPr>
                <w:rFonts w:hint="eastAsia" w:ascii="Times New Roman" w:hAnsi="Times New Roman" w:eastAsia="宋体" w:cs="Times New Roman"/>
                <w:b w:val="0"/>
                <w:bCs/>
                <w:color w:val="auto"/>
                <w:sz w:val="24"/>
                <w:szCs w:val="24"/>
                <w:u w:val="none"/>
                <w:lang w:val="en-US" w:eastAsia="zh-CN"/>
              </w:rPr>
              <w:t>技改后</w:t>
            </w:r>
            <w:r>
              <w:rPr>
                <w:rFonts w:hint="eastAsia" w:ascii="Times New Roman" w:hAnsi="Times New Roman"/>
                <w:color w:val="auto"/>
                <w:kern w:val="0"/>
                <w:sz w:val="24"/>
                <w:szCs w:val="24"/>
                <w:lang w:val="en-US" w:eastAsia="zh-CN" w:bidi="ar"/>
              </w:rPr>
              <w:t>生产用水总量减少3370.33t/a，则技改后全厂生产用水总量为7579.67t/a。</w:t>
            </w:r>
          </w:p>
          <w:p>
            <w:pPr>
              <w:keepNext w:val="0"/>
              <w:keepLines w:val="0"/>
              <w:pageBreakBefore w:val="0"/>
              <w:widowControl w:val="0"/>
              <w:kinsoku/>
              <w:wordWrap/>
              <w:overflowPunct/>
              <w:topLinePunct w:val="0"/>
              <w:autoSpaceDE/>
              <w:autoSpaceDN/>
              <w:bidi w:val="0"/>
              <w:adjustRightInd w:val="0"/>
              <w:spacing w:afterAutospacing="0" w:line="360" w:lineRule="auto"/>
              <w:ind w:firstLine="482" w:firstLineChars="200"/>
              <w:textAlignment w:val="auto"/>
              <w:rPr>
                <w:rFonts w:ascii="Times New Roman" w:hAnsi="Times New Roman"/>
                <w:b/>
                <w:color w:val="auto"/>
                <w:sz w:val="24"/>
                <w:szCs w:val="24"/>
              </w:rPr>
            </w:pPr>
            <w:r>
              <w:rPr>
                <w:rFonts w:ascii="Times New Roman" w:hAnsi="Times New Roman"/>
                <w:b/>
                <w:color w:val="auto"/>
                <w:sz w:val="24"/>
                <w:szCs w:val="24"/>
              </w:rPr>
              <w:t>2、排水</w:t>
            </w:r>
          </w:p>
          <w:p>
            <w:pPr>
              <w:keepNext w:val="0"/>
              <w:keepLines w:val="0"/>
              <w:pageBreakBefore w:val="0"/>
              <w:widowControl w:val="0"/>
              <w:kinsoku/>
              <w:wordWrap/>
              <w:overflowPunct/>
              <w:topLinePunct w:val="0"/>
              <w:autoSpaceDE/>
              <w:autoSpaceDN/>
              <w:bidi w:val="0"/>
              <w:adjustRightInd w:val="0"/>
              <w:spacing w:afterAutospacing="0" w:line="360" w:lineRule="auto"/>
              <w:ind w:firstLine="480" w:firstLineChars="200"/>
              <w:textAlignment w:val="auto"/>
              <w:rPr>
                <w:rFonts w:ascii="Times New Roman" w:hAnsi="Times New Roman"/>
                <w:b/>
                <w:color w:val="auto"/>
                <w:sz w:val="24"/>
                <w:szCs w:val="24"/>
              </w:rPr>
            </w:pPr>
            <w:r>
              <w:rPr>
                <w:rFonts w:hint="eastAsia"/>
                <w:color w:val="auto"/>
                <w:sz w:val="24"/>
                <w:szCs w:val="24"/>
              </w:rPr>
              <w:t>本项目</w:t>
            </w:r>
            <w:r>
              <w:rPr>
                <w:rFonts w:hint="eastAsia"/>
                <w:color w:val="auto"/>
                <w:sz w:val="24"/>
                <w:szCs w:val="24"/>
                <w:lang w:eastAsia="zh-CN"/>
              </w:rPr>
              <w:t>生产</w:t>
            </w:r>
            <w:r>
              <w:rPr>
                <w:rFonts w:hint="eastAsia"/>
                <w:color w:val="auto"/>
                <w:sz w:val="24"/>
                <w:szCs w:val="24"/>
              </w:rPr>
              <w:t>废水经厂区</w:t>
            </w:r>
            <w:r>
              <w:rPr>
                <w:rFonts w:ascii="Times New Roman" w:hAnsi="Times New Roman"/>
                <w:color w:val="auto"/>
                <w:sz w:val="24"/>
                <w:szCs w:val="24"/>
              </w:rPr>
              <w:t>自建3000m</w:t>
            </w:r>
            <w:r>
              <w:rPr>
                <w:rFonts w:ascii="Times New Roman" w:hAnsi="Times New Roman"/>
                <w:color w:val="auto"/>
                <w:sz w:val="24"/>
                <w:szCs w:val="24"/>
                <w:vertAlign w:val="superscript"/>
              </w:rPr>
              <w:t>3</w:t>
            </w:r>
            <w:r>
              <w:rPr>
                <w:rFonts w:ascii="Times New Roman" w:hAnsi="Times New Roman"/>
                <w:color w:val="auto"/>
                <w:sz w:val="24"/>
                <w:szCs w:val="24"/>
              </w:rPr>
              <w:t>/d</w:t>
            </w:r>
            <w:r>
              <w:rPr>
                <w:rFonts w:hint="eastAsia"/>
                <w:color w:val="auto"/>
                <w:sz w:val="24"/>
                <w:szCs w:val="24"/>
              </w:rPr>
              <w:t>污水处理站处理后</w:t>
            </w:r>
            <w:r>
              <w:rPr>
                <w:rFonts w:hint="eastAsia"/>
                <w:color w:val="auto"/>
                <w:sz w:val="24"/>
                <w:szCs w:val="24"/>
                <w:lang w:val="en-US" w:eastAsia="zh-CN"/>
              </w:rPr>
              <w:t>循环</w:t>
            </w:r>
            <w:r>
              <w:rPr>
                <w:rFonts w:hint="eastAsia"/>
                <w:color w:val="auto"/>
                <w:sz w:val="24"/>
                <w:szCs w:val="24"/>
              </w:rPr>
              <w:t>回用</w:t>
            </w:r>
            <w:r>
              <w:rPr>
                <w:rFonts w:hint="eastAsia"/>
                <w:color w:val="auto"/>
                <w:sz w:val="24"/>
                <w:szCs w:val="24"/>
                <w:highlight w:val="none"/>
              </w:rPr>
              <w:t>；</w:t>
            </w:r>
            <w:r>
              <w:rPr>
                <w:rFonts w:hint="eastAsia"/>
                <w:color w:val="auto"/>
                <w:sz w:val="24"/>
                <w:szCs w:val="24"/>
              </w:rPr>
              <w:t>塑料条、塑料丝冷却水，循环使用不外排；</w:t>
            </w:r>
            <w:r>
              <w:rPr>
                <w:rFonts w:ascii="Times New Roman" w:hAnsi="Times New Roman"/>
                <w:color w:val="auto"/>
                <w:sz w:val="24"/>
                <w:szCs w:val="24"/>
              </w:rPr>
              <w:t>食堂废水经</w:t>
            </w:r>
            <w:r>
              <w:rPr>
                <w:rFonts w:ascii="Times New Roman" w:hAnsi="Times New Roman"/>
                <w:bCs/>
                <w:color w:val="auto"/>
                <w:sz w:val="24"/>
                <w:szCs w:val="24"/>
              </w:rPr>
              <w:t>3m</w:t>
            </w:r>
            <w:r>
              <w:rPr>
                <w:rFonts w:ascii="Times New Roman" w:hAnsi="Times New Roman"/>
                <w:bCs/>
                <w:color w:val="auto"/>
                <w:sz w:val="24"/>
                <w:szCs w:val="24"/>
                <w:vertAlign w:val="superscript"/>
              </w:rPr>
              <w:t>3</w:t>
            </w:r>
            <w:r>
              <w:rPr>
                <w:rFonts w:ascii="Times New Roman" w:hAnsi="Times New Roman"/>
                <w:color w:val="auto"/>
                <w:sz w:val="24"/>
                <w:szCs w:val="24"/>
              </w:rPr>
              <w:t>隔油池隔油处理后与生活污水一同经</w:t>
            </w:r>
            <w:r>
              <w:rPr>
                <w:rFonts w:ascii="Times New Roman" w:hAnsi="Times New Roman"/>
                <w:bCs/>
                <w:color w:val="auto"/>
                <w:sz w:val="24"/>
                <w:szCs w:val="24"/>
              </w:rPr>
              <w:t>63m</w:t>
            </w:r>
            <w:r>
              <w:rPr>
                <w:rFonts w:ascii="Times New Roman" w:hAnsi="Times New Roman"/>
                <w:bCs/>
                <w:color w:val="auto"/>
                <w:sz w:val="24"/>
                <w:szCs w:val="24"/>
                <w:vertAlign w:val="superscript"/>
              </w:rPr>
              <w:t>3</w:t>
            </w:r>
            <w:r>
              <w:rPr>
                <w:rFonts w:ascii="Times New Roman" w:hAnsi="Times New Roman"/>
                <w:color w:val="auto"/>
                <w:sz w:val="24"/>
                <w:szCs w:val="24"/>
              </w:rPr>
              <w:t>预处理池处理达《污水综合排放标准》</w:t>
            </w:r>
            <w:r>
              <w:rPr>
                <w:rFonts w:ascii="Times New Roman" w:hAnsi="Times New Roman"/>
                <w:bCs/>
                <w:color w:val="auto"/>
                <w:sz w:val="24"/>
                <w:szCs w:val="24"/>
              </w:rPr>
              <w:t>（GB8978-1996）三级标准后排入园区污水管网，最终</w:t>
            </w:r>
            <w:r>
              <w:rPr>
                <w:rFonts w:hint="default" w:ascii="Times New Roman" w:hAnsi="Times New Roman" w:eastAsia="宋体" w:cs="Times New Roman"/>
                <w:bCs/>
                <w:color w:val="auto"/>
                <w:sz w:val="24"/>
                <w:szCs w:val="24"/>
              </w:rPr>
              <w:t>一同进入犍为县污水处理厂处理后达标排放</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val="0"/>
              <w:spacing w:afterAutospacing="0" w:line="360" w:lineRule="auto"/>
              <w:ind w:firstLine="420" w:firstLineChars="200"/>
              <w:textAlignment w:val="auto"/>
              <w:rPr>
                <w:rFonts w:ascii="Times New Roman" w:hAnsi="Times New Roman"/>
                <w:b/>
                <w:color w:val="auto"/>
                <w:sz w:val="24"/>
                <w:szCs w:val="24"/>
              </w:rPr>
            </w:pPr>
            <w:r>
              <w:rPr>
                <w:rFonts w:ascii="Times New Roman" w:hAnsi="Times New Roman"/>
                <w:color w:val="auto"/>
                <w:sz w:val="21"/>
                <w:szCs w:val="21"/>
              </w:rPr>
              <w:object>
                <v:shape id="_x0000_i1025" o:spt="75" type="#_x0000_t75" style="height:223.85pt;width:352.85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图2-1  技改后全厂水平衡图</w:t>
            </w:r>
          </w:p>
          <w:p>
            <w:pPr>
              <w:keepNext w:val="0"/>
              <w:keepLines w:val="0"/>
              <w:pageBreakBefore w:val="0"/>
              <w:widowControl w:val="0"/>
              <w:kinsoku/>
              <w:wordWrap/>
              <w:overflowPunct/>
              <w:topLinePunct w:val="0"/>
              <w:autoSpaceDE/>
              <w:autoSpaceDN/>
              <w:bidi w:val="0"/>
              <w:adjustRightInd w:val="0"/>
              <w:spacing w:afterAutospacing="0" w:line="360" w:lineRule="auto"/>
              <w:ind w:firstLine="482" w:firstLineChars="200"/>
              <w:textAlignment w:val="auto"/>
              <w:rPr>
                <w:rFonts w:hint="eastAsia" w:ascii="Times New Roman" w:hAnsi="Times New Roman"/>
                <w:b/>
                <w:color w:val="auto"/>
                <w:sz w:val="24"/>
                <w:szCs w:val="24"/>
              </w:rPr>
            </w:pPr>
          </w:p>
          <w:p>
            <w:pPr>
              <w:keepNext w:val="0"/>
              <w:keepLines w:val="0"/>
              <w:pageBreakBefore w:val="0"/>
              <w:widowControl w:val="0"/>
              <w:kinsoku/>
              <w:wordWrap/>
              <w:overflowPunct/>
              <w:topLinePunct w:val="0"/>
              <w:autoSpaceDE/>
              <w:autoSpaceDN/>
              <w:bidi w:val="0"/>
              <w:adjustRightInd w:val="0"/>
              <w:spacing w:afterAutospacing="0" w:line="360" w:lineRule="auto"/>
              <w:ind w:firstLine="482" w:firstLineChars="200"/>
              <w:textAlignment w:val="auto"/>
              <w:rPr>
                <w:rFonts w:ascii="Times New Roman" w:hAnsi="Times New Roman"/>
                <w:b/>
                <w:color w:val="auto"/>
                <w:sz w:val="24"/>
                <w:szCs w:val="24"/>
              </w:rPr>
            </w:pPr>
            <w:r>
              <w:rPr>
                <w:rFonts w:hint="eastAsia" w:ascii="Times New Roman" w:hAnsi="Times New Roman"/>
                <w:b/>
                <w:color w:val="auto"/>
                <w:sz w:val="24"/>
                <w:szCs w:val="24"/>
              </w:rPr>
              <w:t>3</w:t>
            </w:r>
            <w:r>
              <w:rPr>
                <w:rFonts w:ascii="Times New Roman" w:hAnsi="Times New Roman"/>
                <w:b/>
                <w:color w:val="auto"/>
                <w:sz w:val="24"/>
                <w:szCs w:val="24"/>
              </w:rPr>
              <w:t>、供电</w:t>
            </w:r>
          </w:p>
          <w:p>
            <w:pPr>
              <w:keepNext w:val="0"/>
              <w:keepLines w:val="0"/>
              <w:pageBreakBefore w:val="0"/>
              <w:widowControl w:val="0"/>
              <w:kinsoku/>
              <w:wordWrap/>
              <w:overflowPunct/>
              <w:topLinePunct w:val="0"/>
              <w:autoSpaceDE/>
              <w:autoSpaceDN/>
              <w:bidi w:val="0"/>
              <w:adjustRightInd w:val="0"/>
              <w:spacing w:afterAutospacing="0" w:line="360" w:lineRule="auto"/>
              <w:ind w:firstLine="480" w:firstLineChars="200"/>
              <w:textAlignment w:val="auto"/>
              <w:rPr>
                <w:rFonts w:ascii="Times New Roman" w:hAnsi="Times New Roman"/>
                <w:bCs/>
                <w:color w:val="auto"/>
                <w:sz w:val="24"/>
                <w:szCs w:val="24"/>
              </w:rPr>
            </w:pPr>
            <w:r>
              <w:rPr>
                <w:rFonts w:hint="eastAsia"/>
                <w:color w:val="auto"/>
                <w:sz w:val="24"/>
                <w:szCs w:val="24"/>
              </w:rPr>
              <w:t>项目依托目前厂区供电系统，自园区接入电缆供电。</w:t>
            </w:r>
          </w:p>
          <w:p>
            <w:pPr>
              <w:keepNext w:val="0"/>
              <w:keepLines w:val="0"/>
              <w:pageBreakBefore w:val="0"/>
              <w:widowControl w:val="0"/>
              <w:kinsoku/>
              <w:wordWrap/>
              <w:overflowPunct/>
              <w:topLinePunct w:val="0"/>
              <w:autoSpaceDE/>
              <w:autoSpaceDN/>
              <w:bidi w:val="0"/>
              <w:adjustRightInd w:val="0"/>
              <w:spacing w:afterAutospacing="0" w:line="360" w:lineRule="auto"/>
              <w:ind w:firstLine="482" w:firstLineChars="200"/>
              <w:textAlignment w:val="auto"/>
              <w:rPr>
                <w:rFonts w:hint="eastAsia" w:ascii="Times New Roman" w:hAnsi="Times New Roman"/>
                <w:b/>
                <w:color w:val="auto"/>
                <w:sz w:val="24"/>
                <w:szCs w:val="24"/>
              </w:rPr>
            </w:pPr>
            <w:r>
              <w:rPr>
                <w:rFonts w:hint="eastAsia" w:ascii="Times New Roman" w:hAnsi="Times New Roman"/>
                <w:b/>
                <w:color w:val="auto"/>
                <w:sz w:val="24"/>
                <w:szCs w:val="24"/>
              </w:rPr>
              <w:t>4、交通组织</w:t>
            </w:r>
          </w:p>
          <w:p>
            <w:pPr>
              <w:pStyle w:val="2"/>
              <w:keepNext w:val="0"/>
              <w:keepLines w:val="0"/>
              <w:pageBreakBefore w:val="0"/>
              <w:widowControl w:val="0"/>
              <w:kinsoku/>
              <w:wordWrap/>
              <w:overflowPunct/>
              <w:topLinePunct w:val="0"/>
              <w:autoSpaceDE/>
              <w:autoSpaceDN/>
              <w:bidi w:val="0"/>
              <w:adjustRightInd/>
              <w:spacing w:before="0" w:after="0" w:afterAutospacing="0" w:line="360" w:lineRule="auto"/>
              <w:ind w:left="0" w:right="0" w:firstLine="472"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本项目所在车间一共设置2个出入口，一个位于车间东侧，为原料入口，一个位于车间北侧，为成品出口以及职员出入口。</w:t>
            </w:r>
          </w:p>
          <w:p>
            <w:pPr>
              <w:pStyle w:val="69"/>
              <w:keepNext w:val="0"/>
              <w:keepLines w:val="0"/>
              <w:pageBreakBefore w:val="0"/>
              <w:widowControl w:val="0"/>
              <w:kinsoku/>
              <w:wordWrap/>
              <w:overflowPunct/>
              <w:topLinePunct w:val="0"/>
              <w:autoSpaceDE/>
              <w:autoSpaceDN/>
              <w:bidi w:val="0"/>
              <w:spacing w:afterAutospacing="0" w:line="360" w:lineRule="auto"/>
              <w:ind w:firstLine="482"/>
              <w:jc w:val="left"/>
              <w:textAlignment w:val="auto"/>
              <w:rPr>
                <w:rFonts w:ascii="Times New Roman" w:hAnsi="Times New Roman"/>
                <w:color w:val="auto"/>
                <w:sz w:val="24"/>
                <w:szCs w:val="24"/>
              </w:rPr>
            </w:pPr>
            <w:r>
              <w:rPr>
                <w:rFonts w:ascii="Times New Roman" w:hAnsi="Times New Roman"/>
                <w:color w:val="auto"/>
                <w:sz w:val="24"/>
                <w:szCs w:val="24"/>
              </w:rPr>
              <w:t>厂内共设置一个出入口，位于厂区北侧，为物流、人流出入口，主要供车辆、职员进出。</w:t>
            </w:r>
          </w:p>
          <w:p>
            <w:pPr>
              <w:pStyle w:val="69"/>
              <w:spacing w:line="360" w:lineRule="auto"/>
              <w:ind w:left="0" w:leftChars="0" w:firstLine="0" w:firstLineChars="0"/>
              <w:rPr>
                <w:b/>
                <w:color w:val="auto"/>
                <w:sz w:val="24"/>
                <w:szCs w:val="24"/>
              </w:rPr>
            </w:pPr>
            <w:r>
              <w:rPr>
                <w:rFonts w:hint="eastAsia"/>
                <w:b/>
                <w:color w:val="auto"/>
                <w:sz w:val="24"/>
                <w:szCs w:val="24"/>
                <w:lang w:eastAsia="zh-CN"/>
              </w:rPr>
              <w:t>七、</w:t>
            </w:r>
            <w:r>
              <w:rPr>
                <w:b/>
                <w:color w:val="auto"/>
                <w:sz w:val="24"/>
                <w:szCs w:val="24"/>
              </w:rPr>
              <w:t>总平面布置合理性分析</w:t>
            </w:r>
          </w:p>
          <w:p>
            <w:pPr>
              <w:adjustRightInd w:val="0"/>
              <w:snapToGrid w:val="0"/>
              <w:spacing w:line="360" w:lineRule="auto"/>
              <w:ind w:firstLine="480" w:firstLineChars="200"/>
              <w:jc w:val="left"/>
              <w:rPr>
                <w:rFonts w:hint="eastAsia"/>
                <w:color w:val="auto"/>
                <w:sz w:val="24"/>
                <w:szCs w:val="24"/>
              </w:rPr>
            </w:pPr>
            <w:r>
              <w:rPr>
                <w:rFonts w:hint="eastAsia"/>
                <w:color w:val="auto"/>
                <w:sz w:val="24"/>
                <w:szCs w:val="24"/>
              </w:rPr>
              <w:t>现有生产厂区总占地面积约15440.80m</w:t>
            </w:r>
            <w:r>
              <w:rPr>
                <w:rFonts w:hint="eastAsia"/>
                <w:color w:val="auto"/>
                <w:sz w:val="24"/>
                <w:szCs w:val="24"/>
                <w:vertAlign w:val="superscript"/>
              </w:rPr>
              <w:t>2</w:t>
            </w:r>
            <w:r>
              <w:rPr>
                <w:rFonts w:hint="eastAsia"/>
                <w:color w:val="auto"/>
                <w:sz w:val="24"/>
                <w:szCs w:val="24"/>
              </w:rPr>
              <w:t>，设置有生产车间及办公生活设施，办公生活设施设置在厂内北侧，为2F宿舍楼、2F办公室，与生产车间分隔开来，减少生产对办公生活的影响。生产车间位于厂内中、南侧，本项目建成后，生产车间为彩钢棚顶，四面封闭，仅预留出入口的半封闭结构，生产厂房内分西区和东区，西区为</w:t>
            </w:r>
            <w:r>
              <w:rPr>
                <w:rFonts w:hint="eastAsia"/>
                <w:color w:val="auto"/>
                <w:sz w:val="24"/>
                <w:szCs w:val="24"/>
                <w:lang w:eastAsia="zh-CN"/>
              </w:rPr>
              <w:t>圆织生产线</w:t>
            </w:r>
            <w:r>
              <w:rPr>
                <w:rFonts w:hint="eastAsia"/>
                <w:color w:val="auto"/>
                <w:sz w:val="24"/>
                <w:szCs w:val="24"/>
              </w:rPr>
              <w:t>；东区的南侧布置</w:t>
            </w:r>
            <w:r>
              <w:rPr>
                <w:rFonts w:hint="eastAsia"/>
                <w:color w:val="auto"/>
                <w:sz w:val="24"/>
                <w:szCs w:val="24"/>
                <w:lang w:eastAsia="zh-CN"/>
              </w:rPr>
              <w:t>三</w:t>
            </w:r>
            <w:r>
              <w:rPr>
                <w:rFonts w:hint="eastAsia"/>
                <w:color w:val="auto"/>
                <w:sz w:val="24"/>
                <w:szCs w:val="24"/>
              </w:rPr>
              <w:t>条废塑料造粒生产线，中部布置一条废塑料造粒拉丝生产线，北侧为成品堆放区。项目厂房内设置道路连接项目生产线出料口、原料堆场，便于原料及产品的进出。项目主要产噪设备、废气排放位置及运输道路均位于远离北侧办公生活区域，减少了项目生产对厂内人员的影响。</w:t>
            </w:r>
          </w:p>
          <w:p>
            <w:pPr>
              <w:adjustRightInd w:val="0"/>
              <w:snapToGrid w:val="0"/>
              <w:spacing w:line="360" w:lineRule="auto"/>
              <w:ind w:firstLine="480" w:firstLineChars="200"/>
              <w:jc w:val="left"/>
              <w:rPr>
                <w:bCs/>
                <w:color w:val="auto"/>
                <w:szCs w:val="21"/>
              </w:rPr>
            </w:pPr>
            <w:r>
              <w:rPr>
                <w:rFonts w:hint="eastAsia"/>
                <w:color w:val="auto"/>
                <w:sz w:val="24"/>
                <w:szCs w:val="24"/>
              </w:rPr>
              <w:t>项目平面布置均按照生产工艺流程进行布置，布局紧凑合理，运输方便，具体平面布置详见附图3。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453" w:type="dxa"/>
            <w:noWrap w:val="0"/>
            <w:vAlign w:val="center"/>
          </w:tcPr>
          <w:p>
            <w:pPr>
              <w:pStyle w:val="2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工艺流程和产排污环节</w:t>
            </w:r>
          </w:p>
        </w:tc>
        <w:tc>
          <w:tcPr>
            <w:tcW w:w="8607" w:type="dxa"/>
            <w:noWrap w:val="0"/>
            <w:vAlign w:val="top"/>
          </w:tcPr>
          <w:p>
            <w:pPr>
              <w:autoSpaceDE w:val="0"/>
              <w:autoSpaceDN w:val="0"/>
              <w:adjustRightInd w:val="0"/>
              <w:spacing w:line="360" w:lineRule="auto"/>
              <w:rPr>
                <w:b/>
                <w:bCs/>
                <w:color w:val="auto"/>
                <w:sz w:val="24"/>
                <w:szCs w:val="24"/>
              </w:rPr>
            </w:pPr>
            <w:r>
              <w:rPr>
                <w:b/>
                <w:bCs/>
                <w:color w:val="auto"/>
                <w:sz w:val="24"/>
                <w:szCs w:val="24"/>
              </w:rPr>
              <w:t>一</w:t>
            </w:r>
            <w:r>
              <w:rPr>
                <w:rFonts w:hint="eastAsia"/>
                <w:b/>
                <w:bCs/>
                <w:color w:val="auto"/>
                <w:sz w:val="24"/>
                <w:szCs w:val="24"/>
                <w:lang w:eastAsia="zh-CN"/>
              </w:rPr>
              <w:t>、</w:t>
            </w:r>
            <w:r>
              <w:rPr>
                <w:b/>
                <w:bCs/>
                <w:color w:val="auto"/>
                <w:sz w:val="24"/>
                <w:szCs w:val="24"/>
              </w:rPr>
              <w:t>施工期工艺流程及产污分析</w:t>
            </w:r>
          </w:p>
          <w:p>
            <w:pPr>
              <w:pStyle w:val="71"/>
              <w:spacing w:before="0" w:beforeLines="0" w:line="360" w:lineRule="auto"/>
              <w:ind w:firstLine="482" w:firstLineChars="200"/>
              <w:rPr>
                <w:color w:val="auto"/>
                <w:sz w:val="24"/>
                <w:szCs w:val="24"/>
              </w:rPr>
            </w:pPr>
            <w:r>
              <w:rPr>
                <w:color w:val="auto"/>
                <w:sz w:val="24"/>
                <w:szCs w:val="24"/>
              </w:rPr>
              <w:t>1、施工期工艺流程简述</w:t>
            </w:r>
          </w:p>
          <w:p>
            <w:pPr>
              <w:pStyle w:val="69"/>
              <w:spacing w:line="360" w:lineRule="auto"/>
              <w:rPr>
                <w:color w:val="auto"/>
                <w:sz w:val="24"/>
                <w:szCs w:val="24"/>
              </w:rPr>
            </w:pPr>
            <w:r>
              <w:rPr>
                <w:color w:val="auto"/>
                <w:sz w:val="24"/>
                <w:szCs w:val="24"/>
              </w:rPr>
              <w:t>本项目利用现有厂房拆除</w:t>
            </w:r>
            <w:r>
              <w:rPr>
                <w:rFonts w:hint="eastAsia"/>
                <w:color w:val="auto"/>
                <w:sz w:val="24"/>
                <w:szCs w:val="24"/>
                <w:lang w:val="en-US" w:eastAsia="zh-CN"/>
              </w:rPr>
              <w:t>1</w:t>
            </w:r>
            <w:r>
              <w:rPr>
                <w:rFonts w:hint="eastAsia"/>
                <w:color w:val="auto"/>
                <w:sz w:val="24"/>
                <w:szCs w:val="24"/>
                <w:lang w:eastAsia="zh-CN"/>
              </w:rPr>
              <w:t>条塑料颗粒</w:t>
            </w:r>
            <w:r>
              <w:rPr>
                <w:color w:val="auto"/>
                <w:sz w:val="24"/>
                <w:szCs w:val="24"/>
              </w:rPr>
              <w:t>生产线</w:t>
            </w:r>
            <w:r>
              <w:rPr>
                <w:rFonts w:hint="eastAsia"/>
                <w:color w:val="auto"/>
                <w:sz w:val="24"/>
                <w:szCs w:val="24"/>
                <w:lang w:eastAsia="zh-CN"/>
              </w:rPr>
              <w:t>并改造</w:t>
            </w:r>
            <w:r>
              <w:rPr>
                <w:rFonts w:hint="eastAsia"/>
                <w:color w:val="auto"/>
                <w:sz w:val="24"/>
                <w:szCs w:val="24"/>
                <w:lang w:val="en-US" w:eastAsia="zh-CN"/>
              </w:rPr>
              <w:t>1条塑料丝生产线</w:t>
            </w:r>
            <w:r>
              <w:rPr>
                <w:color w:val="auto"/>
                <w:sz w:val="24"/>
                <w:szCs w:val="24"/>
              </w:rPr>
              <w:t>。施工期主要是对房屋进行适应性改造以及设备的安装调试等，该过程污染物类型少，且为短暂性影响，对周围环境影响较小。</w:t>
            </w:r>
          </w:p>
          <w:p>
            <w:pPr>
              <w:spacing w:line="360" w:lineRule="auto"/>
              <w:ind w:firstLine="420" w:firstLineChars="200"/>
              <w:jc w:val="left"/>
              <w:rPr>
                <w:color w:val="auto"/>
                <w:sz w:val="21"/>
                <w:szCs w:val="21"/>
              </w:rPr>
            </w:pPr>
            <w:r>
              <w:rPr>
                <w:color w:val="auto"/>
                <w:sz w:val="21"/>
                <w:szCs w:val="21"/>
              </w:rPr>
              <w:object>
                <v:shape id="_x0000_i1026" o:spt="75" type="#_x0000_t75" style="height:113.4pt;width:391pt;" o:ole="t" filled="f" o:preferrelative="t" stroked="f" coordsize="21600,21600">
                  <v:path/>
                  <v:fill on="f" focussize="0,0"/>
                  <v:stroke on="f"/>
                  <v:imagedata r:id="rId19" o:title=""/>
                  <o:lock v:ext="edit" aspectratio="f"/>
                  <w10:wrap type="none"/>
                  <w10:anchorlock/>
                </v:shape>
                <o:OLEObject Type="Embed" ProgID="Visio.Drawing.11" ShapeID="_x0000_i1026" DrawAspect="Content" ObjectID="_1468075726" r:id="rId18">
                  <o:LockedField>false</o:LockedField>
                </o:OLEObject>
              </w:object>
            </w:r>
          </w:p>
          <w:p>
            <w:pPr>
              <w:spacing w:line="360" w:lineRule="auto"/>
              <w:ind w:firstLine="422" w:firstLineChars="200"/>
              <w:jc w:val="center"/>
              <w:rPr>
                <w:color w:val="auto"/>
                <w:sz w:val="21"/>
                <w:szCs w:val="21"/>
              </w:rPr>
            </w:pPr>
            <w:r>
              <w:rPr>
                <w:b/>
                <w:bCs/>
                <w:color w:val="auto"/>
                <w:sz w:val="21"/>
                <w:szCs w:val="21"/>
              </w:rPr>
              <w:t>图2-</w:t>
            </w:r>
            <w:r>
              <w:rPr>
                <w:rFonts w:hint="eastAsia"/>
                <w:b/>
                <w:bCs/>
                <w:color w:val="auto"/>
                <w:sz w:val="21"/>
                <w:szCs w:val="21"/>
                <w:lang w:val="en-US" w:eastAsia="zh-CN"/>
              </w:rPr>
              <w:t>1</w:t>
            </w:r>
            <w:r>
              <w:rPr>
                <w:b/>
                <w:bCs/>
                <w:color w:val="auto"/>
                <w:sz w:val="21"/>
                <w:szCs w:val="21"/>
              </w:rPr>
              <w:t xml:space="preserve"> 施工期工艺流程及产污位置图</w:t>
            </w:r>
          </w:p>
          <w:p>
            <w:pPr>
              <w:pStyle w:val="69"/>
              <w:spacing w:line="360" w:lineRule="auto"/>
              <w:rPr>
                <w:rFonts w:hint="eastAsia" w:eastAsia="宋体"/>
                <w:color w:val="auto"/>
                <w:sz w:val="24"/>
                <w:szCs w:val="24"/>
                <w:lang w:eastAsia="zh-CN"/>
              </w:rPr>
            </w:pPr>
            <w:r>
              <w:rPr>
                <w:color w:val="auto"/>
                <w:sz w:val="24"/>
                <w:szCs w:val="24"/>
              </w:rPr>
              <w:t>2、施工期主要污染工序</w:t>
            </w:r>
          </w:p>
          <w:p>
            <w:pPr>
              <w:pStyle w:val="69"/>
              <w:spacing w:line="360" w:lineRule="auto"/>
              <w:rPr>
                <w:color w:val="auto"/>
                <w:sz w:val="24"/>
                <w:szCs w:val="24"/>
              </w:rPr>
            </w:pPr>
            <w:r>
              <w:rPr>
                <w:color w:val="auto"/>
                <w:sz w:val="24"/>
                <w:szCs w:val="24"/>
              </w:rPr>
              <w:t>本项目在施工期产生的污染因素如下：</w:t>
            </w:r>
          </w:p>
          <w:p>
            <w:pPr>
              <w:pStyle w:val="69"/>
              <w:spacing w:line="360" w:lineRule="auto"/>
              <w:rPr>
                <w:color w:val="auto"/>
                <w:sz w:val="24"/>
                <w:szCs w:val="24"/>
              </w:rPr>
            </w:pPr>
            <w:r>
              <w:rPr>
                <w:color w:val="auto"/>
                <w:sz w:val="24"/>
                <w:szCs w:val="24"/>
              </w:rPr>
              <w:t>废水：生活污水。</w:t>
            </w:r>
          </w:p>
          <w:p>
            <w:pPr>
              <w:pStyle w:val="69"/>
              <w:spacing w:line="360" w:lineRule="auto"/>
              <w:rPr>
                <w:color w:val="auto"/>
                <w:sz w:val="24"/>
                <w:szCs w:val="24"/>
              </w:rPr>
            </w:pPr>
            <w:r>
              <w:rPr>
                <w:color w:val="auto"/>
                <w:sz w:val="24"/>
                <w:szCs w:val="24"/>
              </w:rPr>
              <w:t>废气：装修改造、建筑垃圾清运过程中产生的扬尘。</w:t>
            </w:r>
          </w:p>
          <w:p>
            <w:pPr>
              <w:pStyle w:val="69"/>
              <w:spacing w:line="360" w:lineRule="auto"/>
              <w:rPr>
                <w:color w:val="auto"/>
                <w:sz w:val="24"/>
                <w:szCs w:val="24"/>
              </w:rPr>
            </w:pPr>
            <w:r>
              <w:rPr>
                <w:color w:val="auto"/>
                <w:sz w:val="24"/>
                <w:szCs w:val="24"/>
              </w:rPr>
              <w:t>噪声：各类机械设备和物料运输的车辆噪声。</w:t>
            </w:r>
          </w:p>
          <w:p>
            <w:pPr>
              <w:spacing w:line="360" w:lineRule="auto"/>
              <w:ind w:firstLine="480" w:firstLineChars="200"/>
              <w:jc w:val="left"/>
              <w:rPr>
                <w:color w:val="auto"/>
                <w:sz w:val="24"/>
                <w:szCs w:val="24"/>
              </w:rPr>
            </w:pPr>
            <w:r>
              <w:rPr>
                <w:color w:val="auto"/>
                <w:sz w:val="24"/>
                <w:szCs w:val="24"/>
              </w:rPr>
              <w:t>固废：生活垃圾；装修垃圾。</w:t>
            </w:r>
          </w:p>
          <w:p>
            <w:pPr>
              <w:pStyle w:val="5"/>
              <w:rPr>
                <w:color w:val="auto"/>
                <w:sz w:val="24"/>
                <w:szCs w:val="24"/>
              </w:rPr>
            </w:pPr>
            <w:r>
              <w:rPr>
                <w:color w:val="auto"/>
                <w:sz w:val="24"/>
                <w:szCs w:val="24"/>
              </w:rPr>
              <w:t>二</w:t>
            </w:r>
            <w:r>
              <w:rPr>
                <w:rFonts w:hint="eastAsia"/>
                <w:color w:val="auto"/>
                <w:sz w:val="24"/>
                <w:szCs w:val="24"/>
                <w:lang w:eastAsia="zh-CN"/>
              </w:rPr>
              <w:t>、</w:t>
            </w:r>
            <w:r>
              <w:rPr>
                <w:color w:val="auto"/>
                <w:sz w:val="24"/>
                <w:szCs w:val="24"/>
              </w:rPr>
              <w:t>营运期工艺流程及产污分析</w:t>
            </w:r>
          </w:p>
          <w:p>
            <w:pPr>
              <w:spacing w:line="360" w:lineRule="auto"/>
              <w:ind w:firstLine="480" w:firstLineChars="200"/>
              <w:rPr>
                <w:color w:val="auto"/>
                <w:sz w:val="24"/>
                <w:szCs w:val="24"/>
              </w:rPr>
            </w:pPr>
            <w:r>
              <w:rPr>
                <w:color w:val="auto"/>
                <w:sz w:val="24"/>
                <w:szCs w:val="24"/>
              </w:rPr>
              <w:t>1、项目运营期工艺流程及产污环节</w:t>
            </w:r>
          </w:p>
          <w:p>
            <w:pPr>
              <w:tabs>
                <w:tab w:val="left" w:pos="1260"/>
              </w:tabs>
              <w:adjustRightInd w:val="0"/>
              <w:spacing w:line="360" w:lineRule="auto"/>
              <w:ind w:firstLine="480" w:firstLineChars="200"/>
              <w:rPr>
                <w:color w:val="auto"/>
                <w:sz w:val="24"/>
                <w:szCs w:val="24"/>
              </w:rPr>
            </w:pPr>
            <w:r>
              <w:rPr>
                <w:rFonts w:hint="eastAsia" w:ascii="Times New Roman" w:hAnsi="Times New Roman"/>
                <w:color w:val="auto"/>
                <w:sz w:val="24"/>
                <w:szCs w:val="24"/>
                <w:lang w:val="en-US" w:eastAsia="zh-CN"/>
              </w:rPr>
              <w:t>本次技改拟</w:t>
            </w:r>
            <w:r>
              <w:rPr>
                <w:rFonts w:hint="eastAsia"/>
                <w:color w:val="auto"/>
                <w:sz w:val="24"/>
                <w:szCs w:val="24"/>
                <w:lang w:val="en-US" w:eastAsia="zh-CN"/>
              </w:rPr>
              <w:t>取消</w:t>
            </w:r>
            <w:r>
              <w:rPr>
                <w:rFonts w:hint="eastAsia"/>
                <w:color w:val="auto"/>
                <w:sz w:val="24"/>
                <w:szCs w:val="24"/>
              </w:rPr>
              <w:t>现有</w:t>
            </w:r>
            <w:r>
              <w:rPr>
                <w:rFonts w:hint="eastAsia"/>
                <w:color w:val="auto"/>
                <w:sz w:val="24"/>
                <w:szCs w:val="24"/>
                <w:lang w:val="en-US" w:eastAsia="zh-CN"/>
              </w:rPr>
              <w:t>1</w:t>
            </w:r>
            <w:r>
              <w:rPr>
                <w:rFonts w:hint="eastAsia"/>
                <w:color w:val="auto"/>
                <w:sz w:val="24"/>
                <w:szCs w:val="24"/>
              </w:rPr>
              <w:t>条塑料颗粒生产线（生产规模为年产塑料颗粒0.5万吨）</w:t>
            </w:r>
            <w:r>
              <w:rPr>
                <w:rFonts w:hint="eastAsia"/>
                <w:color w:val="auto"/>
                <w:sz w:val="24"/>
                <w:szCs w:val="24"/>
                <w:lang w:eastAsia="zh-CN"/>
              </w:rPr>
              <w:t>，</w:t>
            </w:r>
            <w:r>
              <w:rPr>
                <w:rFonts w:hint="eastAsia"/>
                <w:color w:val="auto"/>
                <w:sz w:val="24"/>
                <w:szCs w:val="24"/>
                <w:lang w:val="en-US" w:eastAsia="zh-CN"/>
              </w:rPr>
              <w:t>并将塑料丝生产线</w:t>
            </w:r>
            <w:r>
              <w:rPr>
                <w:rFonts w:hint="eastAsia"/>
                <w:color w:val="auto"/>
                <w:sz w:val="24"/>
                <w:szCs w:val="24"/>
              </w:rPr>
              <w:t>（生产规模为年产</w:t>
            </w:r>
            <w:r>
              <w:rPr>
                <w:rFonts w:hint="eastAsia"/>
                <w:color w:val="auto"/>
                <w:sz w:val="24"/>
                <w:szCs w:val="24"/>
                <w:lang w:eastAsia="zh-CN"/>
              </w:rPr>
              <w:t>塑料</w:t>
            </w:r>
            <w:r>
              <w:rPr>
                <w:rFonts w:hint="eastAsia"/>
                <w:color w:val="auto"/>
                <w:sz w:val="24"/>
                <w:szCs w:val="24"/>
                <w:lang w:val="en-US" w:eastAsia="zh-CN"/>
              </w:rPr>
              <w:t>丝</w:t>
            </w:r>
            <w:r>
              <w:rPr>
                <w:rFonts w:hint="eastAsia"/>
                <w:color w:val="auto"/>
                <w:sz w:val="24"/>
                <w:szCs w:val="24"/>
              </w:rPr>
              <w:t>0.</w:t>
            </w:r>
            <w:r>
              <w:rPr>
                <w:rFonts w:hint="eastAsia"/>
                <w:color w:val="auto"/>
                <w:sz w:val="24"/>
                <w:szCs w:val="24"/>
                <w:lang w:val="en-US" w:eastAsia="zh-CN"/>
              </w:rPr>
              <w:t>65</w:t>
            </w:r>
            <w:r>
              <w:rPr>
                <w:rFonts w:hint="eastAsia"/>
                <w:color w:val="auto"/>
                <w:sz w:val="24"/>
                <w:szCs w:val="24"/>
              </w:rPr>
              <w:t>万吨）</w:t>
            </w:r>
            <w:r>
              <w:rPr>
                <w:rFonts w:hint="eastAsia"/>
                <w:color w:val="auto"/>
                <w:sz w:val="24"/>
                <w:szCs w:val="24"/>
                <w:lang w:val="en-US" w:eastAsia="zh-CN"/>
              </w:rPr>
              <w:t>改造</w:t>
            </w:r>
            <w:r>
              <w:rPr>
                <w:rFonts w:hint="eastAsia"/>
                <w:color w:val="auto"/>
                <w:sz w:val="24"/>
                <w:szCs w:val="24"/>
              </w:rPr>
              <w:t>为1条圆织生产线（生产规模为年产</w:t>
            </w:r>
            <w:r>
              <w:rPr>
                <w:rFonts w:hint="eastAsia"/>
                <w:color w:val="auto"/>
                <w:sz w:val="24"/>
                <w:szCs w:val="24"/>
                <w:lang w:eastAsia="zh-CN"/>
              </w:rPr>
              <w:t>塑料编织布</w:t>
            </w:r>
            <w:r>
              <w:rPr>
                <w:rFonts w:hint="eastAsia"/>
                <w:color w:val="auto"/>
                <w:sz w:val="24"/>
                <w:szCs w:val="24"/>
              </w:rPr>
              <w:t>0.</w:t>
            </w:r>
            <w:r>
              <w:rPr>
                <w:rFonts w:hint="eastAsia"/>
                <w:color w:val="auto"/>
                <w:sz w:val="24"/>
                <w:szCs w:val="24"/>
                <w:lang w:val="en-US" w:eastAsia="zh-CN"/>
              </w:rPr>
              <w:t>65</w:t>
            </w:r>
            <w:r>
              <w:rPr>
                <w:rFonts w:hint="eastAsia"/>
                <w:color w:val="auto"/>
                <w:sz w:val="24"/>
                <w:szCs w:val="24"/>
              </w:rPr>
              <w:t>万吨）。</w:t>
            </w:r>
            <w:r>
              <w:rPr>
                <w:rFonts w:hint="eastAsia"/>
                <w:color w:val="auto"/>
                <w:sz w:val="24"/>
                <w:szCs w:val="32"/>
                <w:lang w:val="en-US" w:eastAsia="zh-CN"/>
              </w:rPr>
              <w:t>本项目仅在现有</w:t>
            </w:r>
            <w:r>
              <w:rPr>
                <w:rFonts w:hint="eastAsia"/>
                <w:color w:val="auto"/>
                <w:sz w:val="24"/>
                <w:szCs w:val="32"/>
              </w:rPr>
              <w:t>0.</w:t>
            </w:r>
            <w:r>
              <w:rPr>
                <w:rFonts w:hint="eastAsia"/>
                <w:color w:val="auto"/>
                <w:sz w:val="24"/>
                <w:szCs w:val="32"/>
                <w:lang w:val="en-US" w:eastAsia="zh-CN"/>
              </w:rPr>
              <w:t>65</w:t>
            </w:r>
            <w:r>
              <w:rPr>
                <w:rFonts w:hint="eastAsia"/>
                <w:color w:val="auto"/>
                <w:sz w:val="24"/>
                <w:szCs w:val="32"/>
              </w:rPr>
              <w:t>万吨</w:t>
            </w:r>
            <w:r>
              <w:rPr>
                <w:rFonts w:hint="eastAsia"/>
                <w:color w:val="auto"/>
                <w:sz w:val="24"/>
                <w:szCs w:val="32"/>
                <w:lang w:val="en-US" w:eastAsia="zh-CN"/>
              </w:rPr>
              <w:t>/年塑料丝生产线成丝后端增加圆织机</w:t>
            </w:r>
            <w:r>
              <w:rPr>
                <w:rFonts w:hint="eastAsia"/>
                <w:color w:val="auto"/>
                <w:sz w:val="24"/>
                <w:szCs w:val="32"/>
              </w:rPr>
              <w:t>。项目</w:t>
            </w:r>
            <w:r>
              <w:rPr>
                <w:rFonts w:hint="eastAsia"/>
                <w:color w:val="auto"/>
                <w:sz w:val="24"/>
                <w:szCs w:val="32"/>
                <w:lang w:val="en-US" w:eastAsia="zh-CN"/>
              </w:rPr>
              <w:t>技改</w:t>
            </w:r>
            <w:r>
              <w:rPr>
                <w:rFonts w:hint="eastAsia"/>
                <w:color w:val="auto"/>
                <w:sz w:val="24"/>
                <w:szCs w:val="32"/>
              </w:rPr>
              <w:t>后全厂产品规模为1.</w:t>
            </w:r>
            <w:r>
              <w:rPr>
                <w:color w:val="auto"/>
                <w:sz w:val="24"/>
                <w:szCs w:val="32"/>
              </w:rPr>
              <w:t>0</w:t>
            </w:r>
            <w:r>
              <w:rPr>
                <w:rFonts w:hint="eastAsia"/>
                <w:color w:val="auto"/>
                <w:sz w:val="24"/>
                <w:szCs w:val="32"/>
              </w:rPr>
              <w:t>万吨/年的塑料颗粒、0</w:t>
            </w:r>
            <w:r>
              <w:rPr>
                <w:color w:val="auto"/>
                <w:sz w:val="24"/>
                <w:szCs w:val="32"/>
              </w:rPr>
              <w:t>.</w:t>
            </w:r>
            <w:r>
              <w:rPr>
                <w:rFonts w:hint="eastAsia"/>
                <w:color w:val="auto"/>
                <w:sz w:val="24"/>
                <w:szCs w:val="32"/>
                <w:lang w:val="en-US" w:eastAsia="zh-CN"/>
              </w:rPr>
              <w:t>65</w:t>
            </w:r>
            <w:r>
              <w:rPr>
                <w:rFonts w:hint="eastAsia"/>
                <w:color w:val="auto"/>
                <w:sz w:val="24"/>
                <w:szCs w:val="32"/>
              </w:rPr>
              <w:t>万吨/年的塑料编</w:t>
            </w:r>
            <w:r>
              <w:rPr>
                <w:rFonts w:hint="eastAsia"/>
                <w:color w:val="auto"/>
                <w:sz w:val="24"/>
                <w:szCs w:val="32"/>
                <w:lang w:val="en-US" w:eastAsia="zh-CN"/>
              </w:rPr>
              <w:t>织布</w:t>
            </w:r>
            <w:r>
              <w:rPr>
                <w:color w:val="auto"/>
                <w:sz w:val="24"/>
                <w:szCs w:val="24"/>
              </w:rPr>
              <w:t>。</w:t>
            </w:r>
          </w:p>
          <w:p>
            <w:pPr>
              <w:tabs>
                <w:tab w:val="left" w:pos="1260"/>
              </w:tabs>
              <w:adjustRightInd w:val="0"/>
              <w:spacing w:line="360" w:lineRule="auto"/>
              <w:ind w:firstLine="480" w:firstLineChars="200"/>
              <w:rPr>
                <w:rFonts w:ascii="Times New Roman" w:hAnsi="Times New Roman"/>
                <w:bCs/>
                <w:color w:val="auto"/>
                <w:sz w:val="24"/>
                <w:szCs w:val="24"/>
              </w:rPr>
            </w:pPr>
            <w:r>
              <w:rPr>
                <w:rFonts w:hint="eastAsia" w:ascii="Times New Roman" w:hAnsi="Times New Roman"/>
                <w:color w:val="auto"/>
                <w:sz w:val="24"/>
                <w:szCs w:val="32"/>
                <w:lang w:eastAsia="zh-CN"/>
              </w:rPr>
              <w:t>本项目将塑料丝生产线生产的塑料丝装备与圆织机上，</w:t>
            </w:r>
            <w:r>
              <w:rPr>
                <w:rFonts w:hint="eastAsia" w:ascii="Times New Roman" w:hAnsi="Times New Roman"/>
                <w:color w:val="auto"/>
                <w:sz w:val="24"/>
                <w:szCs w:val="32"/>
              </w:rPr>
              <w:t>圆织机</w:t>
            </w:r>
            <w:r>
              <w:rPr>
                <w:rFonts w:hint="eastAsia" w:ascii="Times New Roman" w:hAnsi="Times New Roman"/>
                <w:color w:val="auto"/>
                <w:sz w:val="24"/>
                <w:szCs w:val="32"/>
                <w:lang w:eastAsia="zh-CN"/>
              </w:rPr>
              <w:t>工作</w:t>
            </w:r>
            <w:r>
              <w:rPr>
                <w:rFonts w:hint="eastAsia" w:ascii="Times New Roman" w:hAnsi="Times New Roman"/>
                <w:color w:val="auto"/>
                <w:sz w:val="24"/>
                <w:szCs w:val="32"/>
              </w:rPr>
              <w:t>，可织成规格为</w:t>
            </w:r>
            <w:r>
              <w:rPr>
                <w:rFonts w:hint="eastAsia" w:ascii="Times New Roman" w:hAnsi="Times New Roman"/>
                <w:color w:val="auto"/>
                <w:sz w:val="24"/>
                <w:szCs w:val="32"/>
                <w:lang w:val="en-US" w:eastAsia="zh-CN"/>
              </w:rPr>
              <w:t>宽约1</w:t>
            </w:r>
            <w:r>
              <w:rPr>
                <w:rFonts w:hint="eastAsia" w:ascii="Times New Roman" w:hAnsi="Times New Roman"/>
                <w:color w:val="auto"/>
                <w:sz w:val="24"/>
                <w:szCs w:val="32"/>
              </w:rPr>
              <w:t>米的</w:t>
            </w:r>
            <w:r>
              <w:rPr>
                <w:rFonts w:hint="eastAsia" w:ascii="Times New Roman" w:hAnsi="Times New Roman"/>
                <w:color w:val="auto"/>
                <w:sz w:val="24"/>
                <w:szCs w:val="32"/>
                <w:lang w:val="en-US" w:eastAsia="zh-CN"/>
              </w:rPr>
              <w:t>编织</w:t>
            </w:r>
            <w:r>
              <w:rPr>
                <w:rFonts w:hint="eastAsia" w:ascii="Times New Roman" w:hAnsi="Times New Roman"/>
                <w:color w:val="auto"/>
                <w:sz w:val="24"/>
                <w:szCs w:val="32"/>
              </w:rPr>
              <w:t>布，编织原理与织布机一样，织好的柱状织物收卷成</w:t>
            </w:r>
            <w:r>
              <w:rPr>
                <w:rFonts w:hint="eastAsia" w:ascii="Times New Roman" w:hAnsi="Times New Roman"/>
                <w:color w:val="auto"/>
                <w:sz w:val="24"/>
                <w:szCs w:val="32"/>
                <w:lang w:val="en-US" w:eastAsia="zh-CN"/>
              </w:rPr>
              <w:t>布球，然后包装入库</w:t>
            </w:r>
            <w:r>
              <w:rPr>
                <w:rFonts w:ascii="Times New Roman" w:hAnsi="Times New Roman"/>
                <w:color w:val="auto"/>
                <w:sz w:val="24"/>
                <w:szCs w:val="32"/>
              </w:rPr>
              <w:t>待售</w:t>
            </w:r>
            <w:r>
              <w:rPr>
                <w:rFonts w:hint="eastAsia" w:ascii="Times New Roman" w:hAnsi="Times New Roman"/>
                <w:color w:val="auto"/>
                <w:sz w:val="24"/>
                <w:szCs w:val="32"/>
              </w:rPr>
              <w:t>。</w:t>
            </w:r>
            <w:r>
              <w:rPr>
                <w:rFonts w:hint="eastAsia" w:ascii="Times New Roman" w:hAnsi="Times New Roman"/>
                <w:color w:val="auto"/>
                <w:sz w:val="24"/>
                <w:szCs w:val="32"/>
                <w:lang w:val="en-US" w:eastAsia="zh-CN"/>
              </w:rPr>
              <w:t>本次技改不涉及油墨印刷工序</w:t>
            </w:r>
            <w:r>
              <w:rPr>
                <w:rFonts w:hint="eastAsia" w:ascii="Times New Roman" w:hAnsi="Times New Roman"/>
                <w:color w:val="auto"/>
                <w:sz w:val="24"/>
                <w:szCs w:val="32"/>
                <w:lang w:eastAsia="zh-CN"/>
              </w:rPr>
              <w:t>。</w:t>
            </w:r>
            <w:r>
              <w:rPr>
                <w:rFonts w:hint="eastAsia" w:ascii="Times New Roman" w:hAnsi="Times New Roman"/>
                <w:color w:val="auto"/>
                <w:sz w:val="24"/>
                <w:szCs w:val="24"/>
              </w:rPr>
              <w:t>项目营运期工艺流程及产污位置见图</w:t>
            </w:r>
            <w:r>
              <w:rPr>
                <w:rFonts w:hint="eastAsia" w:ascii="Times New Roman" w:hAnsi="Times New Roman"/>
                <w:color w:val="auto"/>
                <w:sz w:val="24"/>
                <w:szCs w:val="24"/>
                <w:lang w:val="en-US" w:eastAsia="zh-CN"/>
              </w:rPr>
              <w:t>2</w:t>
            </w:r>
            <w:r>
              <w:rPr>
                <w:rFonts w:hint="eastAsia" w:ascii="Times New Roman" w:hAnsi="Times New Roman"/>
                <w:color w:val="auto"/>
                <w:sz w:val="24"/>
                <w:szCs w:val="24"/>
              </w:rPr>
              <w:t>-2。</w:t>
            </w:r>
          </w:p>
          <w:p>
            <w:pPr>
              <w:keepNext w:val="0"/>
              <w:keepLines w:val="0"/>
              <w:pageBreakBefore w:val="0"/>
              <w:widowControl w:val="0"/>
              <w:kinsoku/>
              <w:wordWrap/>
              <w:overflowPunct/>
              <w:topLinePunct w:val="0"/>
              <w:autoSpaceDE/>
              <w:autoSpaceDN/>
              <w:bidi w:val="0"/>
              <w:adjustRightInd/>
              <w:snapToGrid/>
              <w:spacing w:line="240" w:lineRule="auto"/>
              <w:ind w:firstLine="2730" w:firstLineChars="1300"/>
              <w:jc w:val="left"/>
              <w:textAlignment w:val="auto"/>
              <w:rPr>
                <w:rFonts w:hint="eastAsia" w:ascii="Times New Roman" w:hAnsi="Times New Roman" w:eastAsia="宋体"/>
                <w:b/>
                <w:color w:val="auto"/>
                <w:sz w:val="21"/>
                <w:szCs w:val="21"/>
                <w:lang w:eastAsia="zh-CN"/>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2005330</wp:posOffset>
                      </wp:positionH>
                      <wp:positionV relativeFrom="paragraph">
                        <wp:posOffset>2627630</wp:posOffset>
                      </wp:positionV>
                      <wp:extent cx="1161415" cy="1040765"/>
                      <wp:effectExtent l="5080" t="4445" r="14605" b="21590"/>
                      <wp:wrapNone/>
                      <wp:docPr id="2" name="矩形 718"/>
                      <wp:cNvGraphicFramePr/>
                      <a:graphic xmlns:a="http://schemas.openxmlformats.org/drawingml/2006/main">
                        <a:graphicData uri="http://schemas.microsoft.com/office/word/2010/wordprocessingShape">
                          <wps:wsp>
                            <wps:cNvSpPr/>
                            <wps:spPr>
                              <a:xfrm>
                                <a:off x="3256280" y="5300345"/>
                                <a:ext cx="1161415" cy="1040765"/>
                              </a:xfrm>
                              <a:prstGeom prst="rect">
                                <a:avLst/>
                              </a:prstGeom>
                              <a:noFill/>
                              <a:ln w="9525" cap="flat" cmpd="sng">
                                <a:solidFill>
                                  <a:srgbClr val="FF0000"/>
                                </a:solidFill>
                                <a:prstDash val="solid"/>
                                <a:miter/>
                                <a:headEnd type="none" w="med" len="med"/>
                                <a:tailEnd type="none" w="med" len="med"/>
                              </a:ln>
                            </wps:spPr>
                            <wps:txbx>
                              <w:txbxContent>
                                <w:p/>
                              </w:txbxContent>
                            </wps:txbx>
                            <wps:bodyPr vert="horz" anchor="t" anchorCtr="0" upright="1"/>
                          </wps:wsp>
                        </a:graphicData>
                      </a:graphic>
                    </wp:anchor>
                  </w:drawing>
                </mc:Choice>
                <mc:Fallback>
                  <w:pict>
                    <v:rect id="矩形 718" o:spid="_x0000_s1026" o:spt="1" style="position:absolute;left:0pt;margin-left:157.9pt;margin-top:206.9pt;height:81.95pt;width:91.45pt;z-index:251660288;mso-width-relative:page;mso-height-relative:page;" filled="f" stroked="t" coordsize="21600,21600" o:gfxdata="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W9OybcAAAACwEAAA8AAAAAAAAAAQAgAAAAIgAAAGRycy9kb3ducmV2LnhtbFBLAQIUABQAAAAI&#10;AIdO4kC/7puMIgIAADQEAAAOAAAAAAAAAAEAIAAAACsBAABkcnMvZTJvRG9jLnhtbFBLBQYAAAAA&#10;BgAGAFkBAAC/BQAAAAA=&#10;">
                      <v:fill on="f" focussize="0,0"/>
                      <v:stroke color="#FF0000" joinstyle="miter"/>
                      <v:imagedata o:title=""/>
                      <o:lock v:ext="edit" aspectratio="f"/>
                      <v:textbox>
                        <w:txbxContent>
                          <w:p/>
                        </w:txbxContent>
                      </v:textbox>
                    </v:rect>
                  </w:pict>
                </mc:Fallback>
              </mc:AlternateContent>
            </w: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4117975</wp:posOffset>
                      </wp:positionH>
                      <wp:positionV relativeFrom="paragraph">
                        <wp:posOffset>3515995</wp:posOffset>
                      </wp:positionV>
                      <wp:extent cx="1375410" cy="401955"/>
                      <wp:effectExtent l="0" t="0" r="0" b="0"/>
                      <wp:wrapNone/>
                      <wp:docPr id="4" name="文本框 720"/>
                      <wp:cNvGraphicFramePr/>
                      <a:graphic xmlns:a="http://schemas.openxmlformats.org/drawingml/2006/main">
                        <a:graphicData uri="http://schemas.microsoft.com/office/word/2010/wordprocessingShape">
                          <wps:wsp>
                            <wps:cNvSpPr txBox="1"/>
                            <wps:spPr>
                              <a:xfrm>
                                <a:off x="5657215" y="6060440"/>
                                <a:ext cx="1375410" cy="401955"/>
                              </a:xfrm>
                              <a:prstGeom prst="rect">
                                <a:avLst/>
                              </a:prstGeom>
                              <a:noFill/>
                              <a:ln w="9525">
                                <a:noFill/>
                              </a:ln>
                            </wps:spPr>
                            <wps:txbx>
                              <w:txbxContent>
                                <w:p>
                                  <w:pPr>
                                    <w:rPr>
                                      <w:rFonts w:hint="default" w:eastAsia="宋体"/>
                                      <w:lang w:val="en-US" w:eastAsia="zh-CN"/>
                                    </w:rPr>
                                  </w:pPr>
                                  <w:r>
                                    <w:rPr>
                                      <w:rFonts w:hint="eastAsia"/>
                                      <w:lang w:val="en-US" w:eastAsia="zh-CN"/>
                                    </w:rPr>
                                    <w:t>本次技改新增工序</w:t>
                                  </w:r>
                                </w:p>
                              </w:txbxContent>
                            </wps:txbx>
                            <wps:bodyPr vert="horz" anchor="t" anchorCtr="0" upright="1"/>
                          </wps:wsp>
                        </a:graphicData>
                      </a:graphic>
                    </wp:anchor>
                  </w:drawing>
                </mc:Choice>
                <mc:Fallback>
                  <w:pict>
                    <v:shape id="文本框 720" o:spid="_x0000_s1026" o:spt="202" type="#_x0000_t202" style="position:absolute;left:0pt;margin-left:324.25pt;margin-top:276.85pt;height:31.65pt;width:108.3pt;z-index:251662336;mso-width-relative:page;mso-height-relative:page;" filled="f" stroked="f" coordsize="21600,21600" o:gfxdata="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uL65zYAAAACwEAAA8AAAAAAAAAAQAg&#10;AAAAIgAAAGRycy9kb3ducmV2LnhtbFBLAQIUABQAAAAIAIdO4kAFAfQh1QEAAIoDAAAOAAAAAAAA&#10;AAEAIAAAACcBAABkcnMvZTJvRG9jLnhtbFBLBQYAAAAABgAGAFkBAABuBQAAAAA=&#10;">
                      <v:fill on="f" focussize="0,0"/>
                      <v:stroke on="f"/>
                      <v:imagedata o:title=""/>
                      <o:lock v:ext="edit" aspectratio="f"/>
                      <v:textbox>
                        <w:txbxContent>
                          <w:p>
                            <w:pPr>
                              <w:rPr>
                                <w:rFonts w:hint="default" w:eastAsia="宋体"/>
                                <w:lang w:val="en-US" w:eastAsia="zh-CN"/>
                              </w:rPr>
                            </w:pPr>
                            <w:r>
                              <w:rPr>
                                <w:rFonts w:hint="eastAsia"/>
                                <w:lang w:val="en-US" w:eastAsia="zh-CN"/>
                              </w:rPr>
                              <w:t>本次技改新增工序</w:t>
                            </w:r>
                          </w:p>
                        </w:txbxContent>
                      </v:textbox>
                    </v:shape>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3765550</wp:posOffset>
                      </wp:positionH>
                      <wp:positionV relativeFrom="paragraph">
                        <wp:posOffset>3540125</wp:posOffset>
                      </wp:positionV>
                      <wp:extent cx="368300" cy="167640"/>
                      <wp:effectExtent l="4445" t="4445" r="8255" b="18415"/>
                      <wp:wrapNone/>
                      <wp:docPr id="3" name="矩形 719"/>
                      <wp:cNvGraphicFramePr/>
                      <a:graphic xmlns:a="http://schemas.openxmlformats.org/drawingml/2006/main">
                        <a:graphicData uri="http://schemas.microsoft.com/office/word/2010/wordprocessingShape">
                          <wps:wsp>
                            <wps:cNvSpPr/>
                            <wps:spPr>
                              <a:xfrm>
                                <a:off x="5168900" y="6092825"/>
                                <a:ext cx="368300" cy="167640"/>
                              </a:xfrm>
                              <a:prstGeom prst="rect">
                                <a:avLst/>
                              </a:prstGeom>
                              <a:solidFill>
                                <a:srgbClr val="FFFFFF"/>
                              </a:solidFill>
                              <a:ln w="9525" cap="flat" cmpd="sng">
                                <a:solidFill>
                                  <a:srgbClr val="FF0000"/>
                                </a:solidFill>
                                <a:prstDash val="solid"/>
                                <a:miter/>
                                <a:headEnd type="none" w="med" len="med"/>
                                <a:tailEnd type="none" w="med" len="med"/>
                              </a:ln>
                            </wps:spPr>
                            <wps:txbx>
                              <w:txbxContent>
                                <w:p/>
                              </w:txbxContent>
                            </wps:txbx>
                            <wps:bodyPr vert="horz" anchor="t" anchorCtr="0" upright="1"/>
                          </wps:wsp>
                        </a:graphicData>
                      </a:graphic>
                    </wp:anchor>
                  </w:drawing>
                </mc:Choice>
                <mc:Fallback>
                  <w:pict>
                    <v:rect id="矩形 719" o:spid="_x0000_s1026" o:spt="1" style="position:absolute;left:0pt;margin-left:296.5pt;margin-top:278.75pt;height:13.2pt;width:29pt;z-index:251661312;mso-width-relative:page;mso-height-relative:page;" fillcolor="#FFFFFF" filled="t" stroked="t" coordsize="21600,21600" o:gfxdata="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1qse2QAAAAsBAAAPAAAAAAAAAAEAIAAAACIAAABkcnMvZG93bnJldi54bWxQSwECFAAUAAAA&#10;CACHTuJAVsoG0iYCAABbBAAADgAAAAAAAAABACAAAAAoAQAAZHJzL2Uyb0RvYy54bWxQSwUGAAAA&#10;AAYABgBZAQAAwAUAAAAA&#10;">
                      <v:fill on="t" focussize="0,0"/>
                      <v:stroke color="#FF0000" joinstyle="miter"/>
                      <v:imagedata o:title=""/>
                      <o:lock v:ext="edit" aspectratio="f"/>
                      <v:textbox>
                        <w:txbxContent>
                          <w:p/>
                        </w:txbxContent>
                      </v:textbox>
                    </v:rect>
                  </w:pict>
                </mc:Fallback>
              </mc:AlternateContent>
            </w:r>
            <w:r>
              <w:rPr>
                <w:rFonts w:hint="eastAsia" w:ascii="Times New Roman" w:hAnsi="Times New Roman" w:eastAsia="宋体"/>
                <w:b/>
                <w:color w:val="auto"/>
                <w:sz w:val="21"/>
                <w:szCs w:val="21"/>
                <w:lang w:eastAsia="zh-CN"/>
              </w:rPr>
              <w:drawing>
                <wp:inline distT="0" distB="0" distL="114300" distR="114300">
                  <wp:extent cx="3077845" cy="3771265"/>
                  <wp:effectExtent l="0" t="0" r="0" b="0"/>
                  <wp:docPr id="2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1" descr="wps"/>
                          <pic:cNvPicPr>
                            <a:picLocks noChangeAspect="1"/>
                          </pic:cNvPicPr>
                        </pic:nvPicPr>
                        <pic:blipFill>
                          <a:blip r:embed="rId20"/>
                          <a:srcRect t="6969" b="3288"/>
                          <a:stretch>
                            <a:fillRect/>
                          </a:stretch>
                        </pic:blipFill>
                        <pic:spPr>
                          <a:xfrm>
                            <a:off x="0" y="0"/>
                            <a:ext cx="3077845" cy="37712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Autospacing="0" w:line="36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b/>
                <w:color w:val="auto"/>
                <w:sz w:val="21"/>
                <w:szCs w:val="21"/>
                <w:highlight w:val="none"/>
                <w:lang w:val="en-US" w:eastAsia="zh-CN"/>
              </w:rPr>
              <w:t>图2-2  塑料编织布工艺流程图</w:t>
            </w:r>
          </w:p>
          <w:p>
            <w:pPr>
              <w:keepNext w:val="0"/>
              <w:keepLines w:val="0"/>
              <w:pageBreakBefore w:val="0"/>
              <w:widowControl w:val="0"/>
              <w:kinsoku/>
              <w:wordWrap/>
              <w:overflowPunct/>
              <w:topLinePunct w:val="0"/>
              <w:autoSpaceDE/>
              <w:autoSpaceDN/>
              <w:bidi w:val="0"/>
              <w:snapToGrid/>
              <w:spacing w:afterAutospacing="0" w:line="360" w:lineRule="auto"/>
              <w:ind w:firstLine="482" w:firstLineChars="200"/>
              <w:rPr>
                <w:rFonts w:hint="default" w:ascii="Times New Roman" w:hAnsi="Times New Roman" w:eastAsia="宋体"/>
                <w:b/>
                <w:color w:val="auto"/>
                <w:sz w:val="24"/>
                <w:szCs w:val="24"/>
                <w:lang w:val="en-US" w:eastAsia="zh-CN"/>
              </w:rPr>
            </w:pPr>
            <w:r>
              <w:rPr>
                <w:rFonts w:hint="eastAsia" w:ascii="Times New Roman" w:hAnsi="Times New Roman"/>
                <w:b/>
                <w:color w:val="auto"/>
                <w:sz w:val="24"/>
                <w:szCs w:val="24"/>
              </w:rPr>
              <w:t>2、营运期污染物</w:t>
            </w:r>
            <w:r>
              <w:rPr>
                <w:rFonts w:hint="eastAsia" w:ascii="Times New Roman" w:hAnsi="Times New Roman"/>
                <w:b/>
                <w:color w:val="auto"/>
                <w:sz w:val="24"/>
                <w:szCs w:val="24"/>
                <w:lang w:val="en-US" w:eastAsia="zh-CN"/>
              </w:rPr>
              <w:t>排放情况</w:t>
            </w:r>
          </w:p>
          <w:p>
            <w:pPr>
              <w:pStyle w:val="81"/>
              <w:adjustRightInd/>
              <w:spacing w:line="360" w:lineRule="auto"/>
              <w:ind w:firstLine="480" w:firstLineChars="200"/>
              <w:rPr>
                <w:color w:val="auto"/>
                <w:sz w:val="24"/>
                <w:szCs w:val="24"/>
              </w:rPr>
            </w:pPr>
            <w:r>
              <w:rPr>
                <w:color w:val="auto"/>
                <w:sz w:val="24"/>
                <w:szCs w:val="24"/>
              </w:rPr>
              <w:t>①废水</w:t>
            </w:r>
          </w:p>
          <w:p>
            <w:pPr>
              <w:pStyle w:val="81"/>
              <w:adjustRightInd/>
              <w:spacing w:line="360" w:lineRule="auto"/>
              <w:ind w:firstLine="480" w:firstLineChars="200"/>
              <w:rPr>
                <w:color w:val="auto"/>
                <w:sz w:val="24"/>
                <w:szCs w:val="24"/>
              </w:rPr>
            </w:pPr>
            <w:r>
              <w:rPr>
                <w:rFonts w:hint="eastAsia"/>
                <w:color w:val="auto"/>
                <w:sz w:val="24"/>
                <w:szCs w:val="24"/>
                <w:lang w:val="en-US" w:eastAsia="zh-CN"/>
              </w:rPr>
              <w:t>本次技改新增工序无生产废水，生活废水不变</w:t>
            </w:r>
            <w:r>
              <w:rPr>
                <w:color w:val="auto"/>
                <w:sz w:val="24"/>
                <w:szCs w:val="24"/>
              </w:rPr>
              <w:t>。</w:t>
            </w:r>
          </w:p>
          <w:p>
            <w:pPr>
              <w:pStyle w:val="81"/>
              <w:adjustRightInd/>
              <w:spacing w:line="360" w:lineRule="auto"/>
              <w:ind w:firstLine="480" w:firstLineChars="200"/>
              <w:rPr>
                <w:color w:val="auto"/>
                <w:sz w:val="24"/>
                <w:szCs w:val="24"/>
              </w:rPr>
            </w:pPr>
            <w:r>
              <w:rPr>
                <w:color w:val="auto"/>
                <w:sz w:val="24"/>
                <w:szCs w:val="24"/>
              </w:rPr>
              <w:t>②废气</w:t>
            </w:r>
          </w:p>
          <w:p>
            <w:pPr>
              <w:pStyle w:val="81"/>
              <w:adjustRightInd/>
              <w:spacing w:line="360" w:lineRule="auto"/>
              <w:ind w:firstLine="480" w:firstLineChars="200"/>
              <w:rPr>
                <w:rFonts w:hint="default" w:eastAsia="宋体"/>
                <w:color w:val="auto"/>
                <w:sz w:val="24"/>
                <w:szCs w:val="24"/>
                <w:lang w:val="en-US" w:eastAsia="zh-CN"/>
              </w:rPr>
            </w:pPr>
            <w:r>
              <w:rPr>
                <w:rFonts w:hint="eastAsia"/>
                <w:color w:val="auto"/>
                <w:sz w:val="24"/>
                <w:szCs w:val="24"/>
                <w:lang w:eastAsia="zh-CN"/>
              </w:rPr>
              <w:t>本</w:t>
            </w:r>
            <w:r>
              <w:rPr>
                <w:rFonts w:hint="eastAsia"/>
                <w:color w:val="auto"/>
                <w:sz w:val="24"/>
                <w:szCs w:val="24"/>
                <w:lang w:val="en-US" w:eastAsia="zh-CN"/>
              </w:rPr>
              <w:t>次技改新增工序</w:t>
            </w:r>
            <w:r>
              <w:rPr>
                <w:rFonts w:hint="eastAsia"/>
                <w:color w:val="auto"/>
                <w:sz w:val="24"/>
                <w:szCs w:val="24"/>
                <w:lang w:eastAsia="zh-CN"/>
              </w:rPr>
              <w:t>无废气产生</w:t>
            </w:r>
            <w:r>
              <w:rPr>
                <w:color w:val="auto"/>
                <w:sz w:val="24"/>
                <w:szCs w:val="24"/>
              </w:rPr>
              <w:t>。</w:t>
            </w:r>
            <w:r>
              <w:rPr>
                <w:rFonts w:hint="eastAsia"/>
                <w:color w:val="auto"/>
                <w:sz w:val="24"/>
                <w:szCs w:val="24"/>
                <w:lang w:val="en-US" w:eastAsia="zh-CN"/>
              </w:rPr>
              <w:t>塑料颗粒生产线减少、烧网机取消等改动使得废气产生量减少。</w:t>
            </w:r>
          </w:p>
          <w:p>
            <w:pPr>
              <w:pStyle w:val="81"/>
              <w:adjustRightInd/>
              <w:spacing w:line="360" w:lineRule="auto"/>
              <w:ind w:firstLine="480" w:firstLineChars="200"/>
              <w:rPr>
                <w:color w:val="auto"/>
                <w:sz w:val="24"/>
                <w:szCs w:val="24"/>
              </w:rPr>
            </w:pPr>
            <w:r>
              <w:rPr>
                <w:color w:val="auto"/>
                <w:sz w:val="24"/>
                <w:szCs w:val="24"/>
              </w:rPr>
              <w:t>③噪声</w:t>
            </w:r>
          </w:p>
          <w:p>
            <w:pPr>
              <w:pStyle w:val="81"/>
              <w:adjustRightInd/>
              <w:spacing w:line="360" w:lineRule="auto"/>
              <w:ind w:firstLine="480" w:firstLineChars="200"/>
              <w:rPr>
                <w:rFonts w:hint="eastAsia" w:eastAsia="宋体"/>
                <w:color w:val="auto"/>
                <w:sz w:val="24"/>
                <w:szCs w:val="24"/>
                <w:lang w:val="en-US" w:eastAsia="zh-CN"/>
              </w:rPr>
            </w:pPr>
            <w:r>
              <w:rPr>
                <w:color w:val="auto"/>
                <w:sz w:val="24"/>
                <w:szCs w:val="24"/>
              </w:rPr>
              <w:t>主要来自生产过程中的设备运行噪声。</w:t>
            </w:r>
          </w:p>
          <w:p>
            <w:pPr>
              <w:pStyle w:val="81"/>
              <w:adjustRightInd/>
              <w:spacing w:line="360" w:lineRule="auto"/>
              <w:ind w:firstLine="480" w:firstLineChars="200"/>
              <w:rPr>
                <w:color w:val="auto"/>
                <w:sz w:val="24"/>
                <w:szCs w:val="24"/>
              </w:rPr>
            </w:pPr>
            <w:r>
              <w:rPr>
                <w:color w:val="auto"/>
                <w:sz w:val="24"/>
                <w:szCs w:val="24"/>
              </w:rPr>
              <w:t>④固体废物</w:t>
            </w:r>
          </w:p>
          <w:p>
            <w:pPr>
              <w:pStyle w:val="81"/>
              <w:adjustRightInd/>
              <w:spacing w:line="360" w:lineRule="auto"/>
              <w:ind w:firstLine="480" w:firstLineChars="200"/>
              <w:rPr>
                <w:bCs/>
                <w:color w:val="auto"/>
                <w:sz w:val="21"/>
                <w:szCs w:val="21"/>
              </w:rPr>
            </w:pPr>
            <w:r>
              <w:rPr>
                <w:rFonts w:hint="eastAsia"/>
                <w:color w:val="auto"/>
                <w:sz w:val="24"/>
                <w:szCs w:val="24"/>
                <w:highlight w:val="none"/>
                <w:lang w:val="en-US" w:eastAsia="zh-CN"/>
              </w:rPr>
              <w:t>本次技改员工生活垃圾增加</w:t>
            </w:r>
            <w:r>
              <w:rPr>
                <w:color w:val="auto"/>
                <w:sz w:val="24"/>
                <w:szCs w:val="24"/>
                <w:highlight w:val="none"/>
              </w:rPr>
              <w:t>；</w:t>
            </w:r>
            <w:r>
              <w:rPr>
                <w:rFonts w:hint="eastAsia"/>
                <w:color w:val="auto"/>
                <w:sz w:val="24"/>
                <w:szCs w:val="24"/>
                <w:highlight w:val="none"/>
                <w:lang w:val="en-US" w:eastAsia="zh-CN"/>
              </w:rPr>
              <w:t>部分固废发生变化</w:t>
            </w: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7" w:hRule="atLeast"/>
          <w:jc w:val="center"/>
        </w:trPr>
        <w:tc>
          <w:tcPr>
            <w:tcW w:w="453" w:type="dxa"/>
            <w:noWrap w:val="0"/>
            <w:vAlign w:val="center"/>
          </w:tcPr>
          <w:p>
            <w:pPr>
              <w:pStyle w:val="2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607" w:type="dxa"/>
            <w:noWrap w:val="0"/>
            <w:vAlign w:val="top"/>
          </w:tcPr>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Times New Roman" w:hAnsi="Times New Roman"/>
                <w:b/>
                <w:bCs/>
                <w:color w:val="auto"/>
                <w:sz w:val="24"/>
                <w:szCs w:val="28"/>
              </w:rPr>
            </w:pPr>
            <w:r>
              <w:rPr>
                <w:rFonts w:hint="eastAsia" w:ascii="Times New Roman" w:hAnsi="Times New Roman"/>
                <w:b/>
                <w:bCs/>
                <w:color w:val="auto"/>
                <w:sz w:val="24"/>
                <w:szCs w:val="28"/>
              </w:rPr>
              <w:t>一、企业现状简况</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color w:val="auto"/>
                <w:sz w:val="24"/>
                <w:szCs w:val="32"/>
              </w:rPr>
            </w:pPr>
            <w:r>
              <w:rPr>
                <w:rFonts w:ascii="Times New Roman" w:hAnsi="Times New Roman"/>
                <w:color w:val="auto"/>
                <w:sz w:val="24"/>
                <w:szCs w:val="32"/>
              </w:rPr>
              <w:t>乐山图南再生资源回收利用有限公司原为“乐山思恒塑业有限责任公司”，于2017年因公司法人变更，更名而来，位于乐山市犍为县</w:t>
            </w:r>
            <w:r>
              <w:rPr>
                <w:rFonts w:hint="eastAsia" w:ascii="Times New Roman" w:hAnsi="Times New Roman"/>
                <w:color w:val="auto"/>
                <w:sz w:val="24"/>
                <w:szCs w:val="32"/>
              </w:rPr>
              <w:t>舞雩镇</w:t>
            </w:r>
            <w:r>
              <w:rPr>
                <w:rFonts w:ascii="Times New Roman" w:hAnsi="Times New Roman"/>
                <w:color w:val="auto"/>
                <w:sz w:val="24"/>
                <w:szCs w:val="32"/>
              </w:rPr>
              <w:t>石马坝工业园区（犍为新型工业基地—石马坝组团内），是一家从事废旧塑料回收再生利用的企业。</w:t>
            </w:r>
          </w:p>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Times New Roman" w:hAnsi="Times New Roman"/>
                <w:b/>
                <w:bCs/>
                <w:color w:val="auto"/>
                <w:sz w:val="24"/>
                <w:szCs w:val="28"/>
              </w:rPr>
            </w:pPr>
            <w:r>
              <w:rPr>
                <w:rFonts w:hint="eastAsia" w:ascii="Times New Roman" w:hAnsi="Times New Roman"/>
                <w:b/>
                <w:bCs/>
                <w:color w:val="auto"/>
                <w:sz w:val="24"/>
                <w:szCs w:val="28"/>
              </w:rPr>
              <w:t>二、</w:t>
            </w:r>
            <w:r>
              <w:rPr>
                <w:rFonts w:hint="eastAsia" w:ascii="Times New Roman" w:hAnsi="Times New Roman"/>
                <w:b/>
                <w:bCs/>
                <w:color w:val="auto"/>
                <w:sz w:val="24"/>
                <w:szCs w:val="28"/>
                <w:lang w:eastAsia="zh-CN"/>
              </w:rPr>
              <w:t>原项目</w:t>
            </w:r>
            <w:r>
              <w:rPr>
                <w:rFonts w:hint="eastAsia" w:ascii="Times New Roman" w:hAnsi="Times New Roman"/>
                <w:b/>
                <w:bCs/>
                <w:color w:val="auto"/>
                <w:sz w:val="24"/>
                <w:szCs w:val="28"/>
              </w:rPr>
              <w:t>环评及验收完成情况</w:t>
            </w:r>
          </w:p>
          <w:p>
            <w:pPr>
              <w:spacing w:line="360" w:lineRule="auto"/>
              <w:ind w:firstLine="480" w:firstLineChars="200"/>
              <w:rPr>
                <w:color w:val="auto"/>
                <w:sz w:val="24"/>
                <w:szCs w:val="24"/>
              </w:rPr>
            </w:pPr>
            <w:r>
              <w:rPr>
                <w:rFonts w:hint="eastAsia"/>
                <w:color w:val="auto"/>
                <w:sz w:val="24"/>
                <w:szCs w:val="24"/>
              </w:rPr>
              <w:t>2016年12月，企业的《新建年产3万吨塑料颗粒项目环境影响报告表》于2016年12月5日取得原犍为县环境保护局（现已更名乐山市犍为生态环境局）批复，文号为“犍环审发[2016]119号”，建设内容为：新建厂房15955m</w:t>
            </w:r>
            <w:r>
              <w:rPr>
                <w:rFonts w:hint="eastAsia"/>
                <w:color w:val="auto"/>
                <w:sz w:val="24"/>
                <w:szCs w:val="24"/>
                <w:vertAlign w:val="superscript"/>
              </w:rPr>
              <w:t>2</w:t>
            </w:r>
            <w:r>
              <w:rPr>
                <w:rFonts w:hint="eastAsia"/>
                <w:color w:val="auto"/>
                <w:sz w:val="24"/>
                <w:szCs w:val="24"/>
              </w:rPr>
              <w:t>，办公用房1100m</w:t>
            </w:r>
            <w:r>
              <w:rPr>
                <w:rFonts w:hint="eastAsia"/>
                <w:color w:val="auto"/>
                <w:sz w:val="24"/>
                <w:szCs w:val="24"/>
                <w:vertAlign w:val="superscript"/>
              </w:rPr>
              <w:t>2</w:t>
            </w:r>
            <w:r>
              <w:rPr>
                <w:rFonts w:hint="eastAsia"/>
                <w:color w:val="auto"/>
                <w:sz w:val="24"/>
                <w:szCs w:val="24"/>
              </w:rPr>
              <w:t>，新建6条塑料颗</w:t>
            </w:r>
            <w:r>
              <w:rPr>
                <w:rFonts w:hint="eastAsia"/>
                <w:color w:val="auto"/>
                <w:sz w:val="24"/>
                <w:szCs w:val="24"/>
                <w:lang w:val="en-US" w:eastAsia="zh-CN"/>
              </w:rPr>
              <w:t>粒</w:t>
            </w:r>
            <w:r>
              <w:rPr>
                <w:rFonts w:hint="eastAsia"/>
                <w:color w:val="auto"/>
                <w:sz w:val="24"/>
                <w:szCs w:val="24"/>
              </w:rPr>
              <w:t>生产线，原料为废旧塑料，项目建成后形成年产量3万吨/年的塑料颗粒生产规模。2017年因公司法人变更，由“乐山思恒塑业有限责任公司”变更为现在的“乐山图南再生资源回收利用有限公司”</w:t>
            </w:r>
            <w:r>
              <w:rPr>
                <w:rFonts w:hint="eastAsia"/>
                <w:color w:val="auto"/>
                <w:sz w:val="24"/>
                <w:szCs w:val="24"/>
                <w:lang w:val="en-US" w:eastAsia="zh-CN"/>
              </w:rPr>
              <w:t>见附件7</w:t>
            </w:r>
            <w:r>
              <w:rPr>
                <w:rFonts w:hint="eastAsia"/>
                <w:color w:val="auto"/>
                <w:sz w:val="24"/>
                <w:szCs w:val="24"/>
              </w:rPr>
              <w:t>。</w:t>
            </w:r>
          </w:p>
          <w:p>
            <w:pPr>
              <w:spacing w:line="360" w:lineRule="auto"/>
              <w:ind w:firstLine="480" w:firstLineChars="200"/>
              <w:rPr>
                <w:rFonts w:hint="eastAsia"/>
                <w:color w:val="auto"/>
                <w:sz w:val="24"/>
                <w:szCs w:val="24"/>
              </w:rPr>
            </w:pPr>
            <w:r>
              <w:rPr>
                <w:rFonts w:hint="eastAsia"/>
                <w:color w:val="auto"/>
                <w:sz w:val="24"/>
                <w:szCs w:val="24"/>
              </w:rPr>
              <w:t>2017年6月，公司的《新建年产3万吨塑料颗粒项目环境影响评价补充报告》于2017年6月25日取得原犍为县环境保护局批复</w:t>
            </w:r>
            <w:r>
              <w:rPr>
                <w:rFonts w:hint="eastAsia"/>
                <w:color w:val="auto"/>
                <w:sz w:val="24"/>
                <w:szCs w:val="24"/>
                <w:lang w:eastAsia="zh-CN"/>
              </w:rPr>
              <w:t>，</w:t>
            </w:r>
            <w:r>
              <w:rPr>
                <w:rFonts w:hint="eastAsia"/>
                <w:color w:val="auto"/>
                <w:sz w:val="24"/>
                <w:szCs w:val="24"/>
              </w:rPr>
              <w:t>文号为“犍环审发[2017]50号”，</w:t>
            </w:r>
            <w:r>
              <w:rPr>
                <w:rFonts w:hint="eastAsia"/>
                <w:color w:val="auto"/>
                <w:sz w:val="24"/>
                <w:szCs w:val="24"/>
                <w:lang w:val="en-US" w:eastAsia="zh-CN"/>
              </w:rPr>
              <w:t>见附件12。</w:t>
            </w:r>
            <w:r>
              <w:rPr>
                <w:rFonts w:hint="eastAsia"/>
                <w:color w:val="auto"/>
                <w:sz w:val="24"/>
                <w:szCs w:val="24"/>
              </w:rPr>
              <w:t xml:space="preserve">根据实际生产线情况，新增烧网机2台，将过滤网进行烧网处理后重复利用，减少废过滤网产生量。 </w:t>
            </w:r>
          </w:p>
          <w:p>
            <w:pPr>
              <w:spacing w:line="360" w:lineRule="auto"/>
              <w:ind w:firstLine="480" w:firstLineChars="200"/>
              <w:rPr>
                <w:rFonts w:hint="eastAsia"/>
                <w:color w:val="auto"/>
                <w:sz w:val="24"/>
                <w:szCs w:val="24"/>
              </w:rPr>
            </w:pPr>
            <w:r>
              <w:rPr>
                <w:rFonts w:hint="eastAsia"/>
                <w:color w:val="auto"/>
                <w:sz w:val="24"/>
                <w:szCs w:val="24"/>
              </w:rPr>
              <w:t>由于市场原因企业在实际建设过程中，只建设了2条生产线，即年产1万吨塑料颗粒，其余工程均按原环评及批复建设。2019年1月，公司《新建年产3万吨塑料颗粒项目（一期）竣工环境保护验收监测报告表》取得自主验收意见并备案</w:t>
            </w:r>
            <w:r>
              <w:rPr>
                <w:rFonts w:hint="eastAsia"/>
                <w:color w:val="auto"/>
                <w:sz w:val="24"/>
                <w:szCs w:val="24"/>
                <w:lang w:eastAsia="zh-CN"/>
              </w:rPr>
              <w:t>，</w:t>
            </w:r>
            <w:r>
              <w:rPr>
                <w:rFonts w:ascii="Times New Roman" w:hAnsi="Times New Roman" w:eastAsia="宋体"/>
                <w:bCs/>
                <w:color w:val="auto"/>
                <w:sz w:val="24"/>
                <w:szCs w:val="24"/>
              </w:rPr>
              <w:t>见附件</w:t>
            </w:r>
            <w:r>
              <w:rPr>
                <w:rFonts w:hint="eastAsia" w:ascii="Times New Roman" w:hAnsi="Times New Roman" w:eastAsia="宋体"/>
                <w:bCs/>
                <w:color w:val="auto"/>
                <w:sz w:val="24"/>
                <w:szCs w:val="24"/>
                <w:lang w:val="en-US" w:eastAsia="zh-CN"/>
              </w:rPr>
              <w:t>13</w:t>
            </w:r>
            <w:r>
              <w:rPr>
                <w:rFonts w:hint="eastAsia"/>
                <w:color w:val="auto"/>
                <w:sz w:val="24"/>
                <w:szCs w:val="24"/>
              </w:rPr>
              <w:t>。验收范围为：2条塑料颗粒生产线（生产规模为1万吨/年塑料颗粒），及其配套工程。</w:t>
            </w:r>
          </w:p>
          <w:p>
            <w:pPr>
              <w:spacing w:line="360" w:lineRule="auto"/>
              <w:ind w:firstLine="480" w:firstLineChars="200"/>
              <w:rPr>
                <w:rFonts w:hint="eastAsia"/>
                <w:color w:val="auto"/>
                <w:sz w:val="24"/>
                <w:szCs w:val="24"/>
              </w:rPr>
            </w:pPr>
            <w:r>
              <w:rPr>
                <w:rFonts w:hint="eastAsia"/>
                <w:color w:val="auto"/>
                <w:sz w:val="24"/>
                <w:szCs w:val="24"/>
              </w:rPr>
              <w:t>2020年4月，公司为满足市场需要，又建设1条塑料颗粒生产线（生产规模为年产塑料颗粒0.5万吨）</w:t>
            </w:r>
            <w:r>
              <w:rPr>
                <w:rFonts w:hint="eastAsia"/>
                <w:color w:val="auto"/>
                <w:sz w:val="24"/>
                <w:szCs w:val="24"/>
                <w:lang w:eastAsia="zh-CN"/>
              </w:rPr>
              <w:t>。</w:t>
            </w:r>
            <w:r>
              <w:rPr>
                <w:rFonts w:hint="eastAsia"/>
                <w:color w:val="auto"/>
                <w:sz w:val="24"/>
                <w:szCs w:val="24"/>
              </w:rPr>
              <w:t>至此，公司一共有3条塑料颗粒生产线，共1.5万吨/年塑料颗粒的生产能力。</w:t>
            </w:r>
          </w:p>
          <w:p>
            <w:pPr>
              <w:spacing w:line="360" w:lineRule="auto"/>
              <w:ind w:firstLine="480" w:firstLineChars="200"/>
              <w:rPr>
                <w:color w:val="auto"/>
                <w:sz w:val="24"/>
                <w:szCs w:val="24"/>
              </w:rPr>
            </w:pPr>
            <w:r>
              <w:rPr>
                <w:rFonts w:hint="eastAsia"/>
                <w:color w:val="auto"/>
                <w:sz w:val="24"/>
                <w:szCs w:val="24"/>
              </w:rPr>
              <w:t>202</w:t>
            </w:r>
            <w:r>
              <w:rPr>
                <w:color w:val="auto"/>
                <w:sz w:val="24"/>
                <w:szCs w:val="24"/>
              </w:rPr>
              <w:t>1</w:t>
            </w:r>
            <w:r>
              <w:rPr>
                <w:rFonts w:hint="eastAsia"/>
                <w:color w:val="auto"/>
                <w:sz w:val="24"/>
                <w:szCs w:val="24"/>
              </w:rPr>
              <w:t>年</w:t>
            </w:r>
            <w:r>
              <w:rPr>
                <w:color w:val="auto"/>
                <w:sz w:val="24"/>
                <w:szCs w:val="24"/>
              </w:rPr>
              <w:t>3</w:t>
            </w:r>
            <w:r>
              <w:rPr>
                <w:rFonts w:hint="eastAsia"/>
                <w:color w:val="auto"/>
                <w:sz w:val="24"/>
                <w:szCs w:val="24"/>
              </w:rPr>
              <w:t>月，《废旧塑料加工生产线技改项目环境影响报告表》于20</w:t>
            </w:r>
            <w:r>
              <w:rPr>
                <w:color w:val="auto"/>
                <w:sz w:val="24"/>
                <w:szCs w:val="24"/>
              </w:rPr>
              <w:t>21</w:t>
            </w:r>
            <w:r>
              <w:rPr>
                <w:rFonts w:hint="eastAsia"/>
                <w:color w:val="auto"/>
                <w:sz w:val="24"/>
                <w:szCs w:val="24"/>
              </w:rPr>
              <w:t>年</w:t>
            </w:r>
            <w:r>
              <w:rPr>
                <w:color w:val="auto"/>
                <w:sz w:val="24"/>
                <w:szCs w:val="24"/>
              </w:rPr>
              <w:t>3</w:t>
            </w:r>
            <w:r>
              <w:rPr>
                <w:rFonts w:hint="eastAsia"/>
                <w:color w:val="auto"/>
                <w:sz w:val="24"/>
                <w:szCs w:val="24"/>
              </w:rPr>
              <w:t>月25日取得犍为县生态环境局批复，文号为“犍环审发[20</w:t>
            </w:r>
            <w:r>
              <w:rPr>
                <w:color w:val="auto"/>
                <w:sz w:val="24"/>
                <w:szCs w:val="24"/>
              </w:rPr>
              <w:t>21</w:t>
            </w:r>
            <w:r>
              <w:rPr>
                <w:rFonts w:hint="eastAsia"/>
                <w:color w:val="auto"/>
                <w:sz w:val="24"/>
                <w:szCs w:val="24"/>
              </w:rPr>
              <w:t>]</w:t>
            </w:r>
            <w:r>
              <w:rPr>
                <w:color w:val="auto"/>
                <w:sz w:val="24"/>
                <w:szCs w:val="24"/>
              </w:rPr>
              <w:t>05</w:t>
            </w:r>
            <w:r>
              <w:rPr>
                <w:rFonts w:hint="eastAsia"/>
                <w:color w:val="auto"/>
                <w:sz w:val="24"/>
                <w:szCs w:val="24"/>
              </w:rPr>
              <w:t>号”，</w:t>
            </w:r>
            <w:r>
              <w:rPr>
                <w:rFonts w:hint="eastAsia"/>
                <w:color w:val="auto"/>
                <w:sz w:val="24"/>
                <w:szCs w:val="24"/>
                <w:lang w:val="en-US" w:eastAsia="zh-CN"/>
              </w:rPr>
              <w:t>见附件12</w:t>
            </w:r>
            <w:r>
              <w:rPr>
                <w:rFonts w:hint="eastAsia"/>
                <w:color w:val="auto"/>
                <w:sz w:val="24"/>
                <w:szCs w:val="24"/>
              </w:rPr>
              <w:t>。乐山图南再生资源回收利用有限公司对剩余未建3条塑料颗粒生产线技改为1条塑料丝生产线，外购1台造粒机，3台拉丝机，原料仍为废旧塑料，产品及规模由1.5万吨</w:t>
            </w:r>
            <w:r>
              <w:rPr>
                <w:rFonts w:hint="eastAsia"/>
                <w:color w:val="auto"/>
                <w:sz w:val="24"/>
                <w:szCs w:val="24"/>
                <w:lang w:val="en-US" w:eastAsia="zh-CN"/>
              </w:rPr>
              <w:t>/年</w:t>
            </w:r>
            <w:r>
              <w:rPr>
                <w:rFonts w:hint="eastAsia"/>
                <w:color w:val="auto"/>
                <w:sz w:val="24"/>
                <w:szCs w:val="24"/>
              </w:rPr>
              <w:t>塑料颗粒调整为0.65万吨</w:t>
            </w:r>
            <w:r>
              <w:rPr>
                <w:rFonts w:hint="eastAsia"/>
                <w:color w:val="auto"/>
                <w:sz w:val="24"/>
                <w:szCs w:val="24"/>
                <w:lang w:val="en-US" w:eastAsia="zh-CN"/>
              </w:rPr>
              <w:t>/年</w:t>
            </w:r>
            <w:r>
              <w:rPr>
                <w:rFonts w:hint="eastAsia"/>
                <w:color w:val="auto"/>
                <w:sz w:val="24"/>
                <w:szCs w:val="24"/>
              </w:rPr>
              <w:t>塑料丝；全厂产品规模</w:t>
            </w:r>
            <w:r>
              <w:rPr>
                <w:rFonts w:hint="eastAsia"/>
                <w:color w:val="auto"/>
                <w:sz w:val="24"/>
                <w:szCs w:val="24"/>
                <w:lang w:val="en-US" w:eastAsia="zh-CN"/>
              </w:rPr>
              <w:t>为</w:t>
            </w:r>
            <w:r>
              <w:rPr>
                <w:rFonts w:hint="eastAsia"/>
                <w:color w:val="auto"/>
                <w:sz w:val="24"/>
                <w:szCs w:val="24"/>
              </w:rPr>
              <w:t>1.5万吨/年的塑料颗粒、0.65万吨/年的塑料丝</w:t>
            </w:r>
            <w:r>
              <w:rPr>
                <w:color w:val="auto"/>
                <w:sz w:val="24"/>
                <w:szCs w:val="24"/>
              </w:rPr>
              <w:t>。</w:t>
            </w:r>
          </w:p>
          <w:p>
            <w:pPr>
              <w:spacing w:line="360" w:lineRule="auto"/>
              <w:ind w:firstLine="480" w:firstLineChars="200"/>
              <w:rPr>
                <w:color w:val="auto"/>
                <w:sz w:val="24"/>
                <w:szCs w:val="24"/>
              </w:rPr>
            </w:pPr>
            <w:r>
              <w:rPr>
                <w:rFonts w:hint="eastAsia"/>
                <w:color w:val="auto"/>
                <w:sz w:val="24"/>
                <w:szCs w:val="24"/>
              </w:rPr>
              <w:t>20</w:t>
            </w:r>
            <w:r>
              <w:rPr>
                <w:color w:val="auto"/>
                <w:sz w:val="24"/>
                <w:szCs w:val="24"/>
              </w:rPr>
              <w:t>22</w:t>
            </w:r>
            <w:r>
              <w:rPr>
                <w:rFonts w:hint="eastAsia"/>
                <w:color w:val="auto"/>
                <w:sz w:val="24"/>
                <w:szCs w:val="24"/>
              </w:rPr>
              <w:t>年</w:t>
            </w:r>
            <w:r>
              <w:rPr>
                <w:rFonts w:hint="eastAsia"/>
                <w:color w:val="auto"/>
                <w:sz w:val="24"/>
                <w:szCs w:val="24"/>
                <w:lang w:val="en-US" w:eastAsia="zh-CN"/>
              </w:rPr>
              <w:t>2</w:t>
            </w:r>
            <w:r>
              <w:rPr>
                <w:rFonts w:hint="eastAsia"/>
                <w:color w:val="auto"/>
                <w:sz w:val="24"/>
                <w:szCs w:val="24"/>
              </w:rPr>
              <w:t>月，公司《新建年产3万吨塑料颗粒项目（二期）竣工环境保护验收监测报告表》和《废旧塑料加工生产线技改项目竣工环境保护验收监测报告表》取得自主验收意见并备案</w:t>
            </w:r>
            <w:r>
              <w:rPr>
                <w:rFonts w:hint="eastAsia"/>
                <w:color w:val="auto"/>
                <w:sz w:val="24"/>
                <w:szCs w:val="24"/>
                <w:lang w:eastAsia="zh-CN"/>
              </w:rPr>
              <w:t>，</w:t>
            </w:r>
            <w:r>
              <w:rPr>
                <w:rFonts w:ascii="Times New Roman" w:hAnsi="Times New Roman" w:eastAsia="宋体"/>
                <w:bCs/>
                <w:color w:val="auto"/>
                <w:sz w:val="24"/>
                <w:szCs w:val="24"/>
              </w:rPr>
              <w:t>见附件</w:t>
            </w:r>
            <w:r>
              <w:rPr>
                <w:rFonts w:hint="eastAsia" w:ascii="Times New Roman" w:hAnsi="Times New Roman" w:eastAsia="宋体"/>
                <w:bCs/>
                <w:color w:val="auto"/>
                <w:sz w:val="24"/>
                <w:szCs w:val="24"/>
                <w:lang w:val="en-US" w:eastAsia="zh-CN"/>
              </w:rPr>
              <w:t>13</w:t>
            </w:r>
            <w:r>
              <w:rPr>
                <w:rFonts w:hint="eastAsia"/>
                <w:color w:val="auto"/>
                <w:sz w:val="24"/>
                <w:szCs w:val="24"/>
              </w:rPr>
              <w:t>。全厂产品规模</w:t>
            </w:r>
            <w:r>
              <w:rPr>
                <w:rFonts w:hint="eastAsia"/>
                <w:color w:val="auto"/>
                <w:sz w:val="24"/>
                <w:szCs w:val="24"/>
                <w:lang w:val="en-US" w:eastAsia="zh-CN"/>
              </w:rPr>
              <w:t>为</w:t>
            </w:r>
            <w:r>
              <w:rPr>
                <w:rFonts w:hint="eastAsia"/>
                <w:color w:val="auto"/>
                <w:sz w:val="24"/>
                <w:szCs w:val="24"/>
              </w:rPr>
              <w:t>1.5万吨/年的塑料颗粒、0.65万吨/年的塑料丝</w:t>
            </w:r>
            <w:r>
              <w:rPr>
                <w:color w:val="auto"/>
                <w:sz w:val="24"/>
                <w:szCs w:val="24"/>
              </w:rPr>
              <w:t>。</w:t>
            </w:r>
          </w:p>
          <w:p>
            <w:pPr>
              <w:spacing w:line="360" w:lineRule="auto"/>
              <w:ind w:firstLine="480" w:firstLineChars="200"/>
              <w:rPr>
                <w:color w:val="auto"/>
                <w:sz w:val="24"/>
                <w:szCs w:val="24"/>
              </w:rPr>
            </w:pPr>
            <w:r>
              <w:rPr>
                <w:rFonts w:hint="eastAsia"/>
                <w:color w:val="auto"/>
                <w:sz w:val="24"/>
                <w:szCs w:val="24"/>
              </w:rPr>
              <w:t>乐山图南再生资源回收利用有限公司已于2019年12月05日取得排污许可证，管理类别：简化管理；许可证编号：91511123MA64KX8G2G001V；</w:t>
            </w:r>
            <w:r>
              <w:rPr>
                <w:rFonts w:hint="eastAsia"/>
                <w:color w:val="auto"/>
                <w:sz w:val="24"/>
                <w:szCs w:val="24"/>
                <w:lang w:val="en-US" w:eastAsia="zh-CN"/>
              </w:rPr>
              <w:t>企业</w:t>
            </w:r>
            <w:r>
              <w:rPr>
                <w:rFonts w:hint="eastAsia"/>
                <w:color w:val="auto"/>
                <w:sz w:val="24"/>
                <w:szCs w:val="24"/>
              </w:rPr>
              <w:t>于2022年01月15日变更了排污许可证。</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表</w:t>
            </w:r>
            <w:r>
              <w:rPr>
                <w:rFonts w:hint="eastAsia" w:ascii="Times New Roman" w:hAnsi="Times New Roman" w:eastAsia="宋体"/>
                <w:b/>
                <w:color w:val="auto"/>
                <w:sz w:val="21"/>
                <w:szCs w:val="21"/>
                <w:lang w:val="en-US" w:eastAsia="zh-CN"/>
              </w:rPr>
              <w:t>2-6</w:t>
            </w:r>
            <w:r>
              <w:rPr>
                <w:rFonts w:ascii="Times New Roman" w:hAnsi="Times New Roman" w:eastAsia="宋体"/>
                <w:b/>
                <w:color w:val="auto"/>
                <w:sz w:val="21"/>
                <w:szCs w:val="21"/>
              </w:rPr>
              <w:t xml:space="preserve">  公司</w:t>
            </w:r>
            <w:r>
              <w:rPr>
                <w:rFonts w:hint="eastAsia" w:ascii="Times New Roman" w:hAnsi="Times New Roman" w:eastAsia="宋体"/>
                <w:b/>
                <w:color w:val="auto"/>
                <w:sz w:val="21"/>
                <w:szCs w:val="21"/>
                <w:lang w:eastAsia="zh-CN"/>
              </w:rPr>
              <w:t>原项目</w:t>
            </w:r>
            <w:r>
              <w:rPr>
                <w:rFonts w:ascii="Times New Roman" w:hAnsi="Times New Roman" w:eastAsia="宋体"/>
                <w:b/>
                <w:color w:val="auto"/>
                <w:sz w:val="21"/>
                <w:szCs w:val="21"/>
              </w:rPr>
              <w:t>环评情况一览表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420"/>
              <w:gridCol w:w="2105"/>
              <w:gridCol w:w="1304"/>
              <w:gridCol w:w="1343"/>
              <w:gridCol w:w="16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序号</w:t>
                  </w:r>
                </w:p>
              </w:tc>
              <w:tc>
                <w:tcPr>
                  <w:tcW w:w="846"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项目名称</w:t>
                  </w:r>
                </w:p>
              </w:tc>
              <w:tc>
                <w:tcPr>
                  <w:tcW w:w="1254"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建设内容</w:t>
                  </w:r>
                </w:p>
              </w:tc>
              <w:tc>
                <w:tcPr>
                  <w:tcW w:w="777"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环评批复情况</w:t>
                  </w:r>
                </w:p>
              </w:tc>
              <w:tc>
                <w:tcPr>
                  <w:tcW w:w="800"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环保验收情况</w:t>
                  </w:r>
                </w:p>
              </w:tc>
              <w:tc>
                <w:tcPr>
                  <w:tcW w:w="980"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1</w:t>
                  </w:r>
                </w:p>
              </w:tc>
              <w:tc>
                <w:tcPr>
                  <w:tcW w:w="846"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新建年产3万吨塑料颗粒项目</w:t>
                  </w:r>
                </w:p>
              </w:tc>
              <w:tc>
                <w:tcPr>
                  <w:tcW w:w="1254" w:type="pct"/>
                  <w:noWrap w:val="0"/>
                  <w:vAlign w:val="center"/>
                </w:tcPr>
                <w:p>
                  <w:pPr>
                    <w:pStyle w:val="2"/>
                    <w:adjustRightInd/>
                    <w:spacing w:before="0" w:line="240" w:lineRule="auto"/>
                    <w:ind w:left="0" w:right="0" w:firstLine="0"/>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新建厂房15955m</w:t>
                  </w:r>
                  <w:r>
                    <w:rPr>
                      <w:rFonts w:ascii="Times New Roman" w:hAnsi="Times New Roman" w:eastAsia="宋体"/>
                      <w:bCs/>
                      <w:color w:val="auto"/>
                      <w:sz w:val="21"/>
                      <w:szCs w:val="21"/>
                      <w:vertAlign w:val="superscript"/>
                    </w:rPr>
                    <w:t>2</w:t>
                  </w:r>
                  <w:r>
                    <w:rPr>
                      <w:rFonts w:ascii="Times New Roman" w:hAnsi="Times New Roman" w:eastAsia="宋体"/>
                      <w:bCs/>
                      <w:color w:val="auto"/>
                      <w:sz w:val="21"/>
                      <w:szCs w:val="21"/>
                    </w:rPr>
                    <w:t>，办公用房1100m</w:t>
                  </w:r>
                  <w:r>
                    <w:rPr>
                      <w:rFonts w:ascii="Times New Roman" w:hAnsi="Times New Roman" w:eastAsia="宋体"/>
                      <w:bCs/>
                      <w:color w:val="auto"/>
                      <w:sz w:val="21"/>
                      <w:szCs w:val="21"/>
                      <w:vertAlign w:val="superscript"/>
                    </w:rPr>
                    <w:t>2</w:t>
                  </w:r>
                  <w:r>
                    <w:rPr>
                      <w:rFonts w:ascii="Times New Roman" w:hAnsi="Times New Roman" w:eastAsia="宋体"/>
                      <w:bCs/>
                      <w:color w:val="auto"/>
                      <w:sz w:val="21"/>
                      <w:szCs w:val="21"/>
                    </w:rPr>
                    <w:t>，新建6条塑料颗粒加工生产线，项目建成后形成年产量3万吨/年的塑料颗粒生产规模</w:t>
                  </w:r>
                </w:p>
              </w:tc>
              <w:tc>
                <w:tcPr>
                  <w:tcW w:w="777"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犍环审发[2016]119号</w:t>
                  </w:r>
                </w:p>
              </w:tc>
              <w:tc>
                <w:tcPr>
                  <w:tcW w:w="800" w:type="pct"/>
                  <w:vMerge w:val="restar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ascii="Times New Roman" w:hAnsi="Times New Roman" w:eastAsia="宋体"/>
                      <w:bCs/>
                      <w:color w:val="auto"/>
                      <w:sz w:val="21"/>
                      <w:szCs w:val="21"/>
                    </w:rPr>
                    <w:t>于2019年1月22日进行了一期工程自主验收，验收意见详见附件</w:t>
                  </w:r>
                  <w:r>
                    <w:rPr>
                      <w:rFonts w:hint="eastAsia" w:ascii="Times New Roman" w:hAnsi="Times New Roman" w:eastAsia="宋体"/>
                      <w:bCs/>
                      <w:color w:val="auto"/>
                      <w:sz w:val="21"/>
                      <w:szCs w:val="21"/>
                      <w:lang w:val="en-US" w:eastAsia="zh-CN"/>
                    </w:rPr>
                    <w:t>13</w:t>
                  </w:r>
                </w:p>
              </w:tc>
              <w:tc>
                <w:tcPr>
                  <w:tcW w:w="98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建设2条塑料颗粒生产线，生产厂房、办公及生活设施、仓储及其他以及废气、废水、固废处理措施。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2</w:t>
                  </w:r>
                </w:p>
              </w:tc>
              <w:tc>
                <w:tcPr>
                  <w:tcW w:w="846"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新建年产3万吨塑料颗粒项目补充报告</w:t>
                  </w:r>
                </w:p>
              </w:tc>
              <w:tc>
                <w:tcPr>
                  <w:tcW w:w="1254"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生产规模、产品类型不发生变化，根据实际生产线情况，新增烧网机2台，将过滤网进行烧网处理后重复利用，减少废过滤网产生量</w:t>
                  </w:r>
                </w:p>
              </w:tc>
              <w:tc>
                <w:tcPr>
                  <w:tcW w:w="777"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犍环审发[2017]50号</w:t>
                  </w:r>
                </w:p>
              </w:tc>
              <w:tc>
                <w:tcPr>
                  <w:tcW w:w="800"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98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新增烧网工艺对原废过滤网进行处理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3</w:t>
                  </w:r>
                </w:p>
              </w:tc>
              <w:tc>
                <w:tcPr>
                  <w:tcW w:w="846"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新建年产3万吨塑料颗粒项目</w:t>
                  </w:r>
                </w:p>
              </w:tc>
              <w:tc>
                <w:tcPr>
                  <w:tcW w:w="1254"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新建1条塑料颗粒生产线，</w:t>
                  </w:r>
                  <w:r>
                    <w:rPr>
                      <w:rFonts w:hint="eastAsia" w:ascii="Times New Roman" w:hAnsi="Times New Roman" w:eastAsia="宋体"/>
                      <w:bCs/>
                      <w:color w:val="auto"/>
                      <w:sz w:val="21"/>
                      <w:szCs w:val="21"/>
                    </w:rPr>
                    <w:t>全厂</w:t>
                  </w:r>
                  <w:r>
                    <w:rPr>
                      <w:rFonts w:ascii="Times New Roman" w:hAnsi="Times New Roman" w:eastAsia="宋体"/>
                      <w:bCs/>
                      <w:color w:val="auto"/>
                      <w:sz w:val="21"/>
                      <w:szCs w:val="21"/>
                    </w:rPr>
                    <w:t>共达到1.5万吨/年的生产规模</w:t>
                  </w:r>
                </w:p>
              </w:tc>
              <w:tc>
                <w:tcPr>
                  <w:tcW w:w="777"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犍环审发[2016]119号</w:t>
                  </w:r>
                </w:p>
              </w:tc>
              <w:tc>
                <w:tcPr>
                  <w:tcW w:w="800"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ascii="Times New Roman" w:hAnsi="Times New Roman" w:eastAsia="宋体"/>
                      <w:bCs/>
                      <w:color w:val="auto"/>
                      <w:sz w:val="21"/>
                      <w:szCs w:val="21"/>
                    </w:rPr>
                    <w:t>于20</w:t>
                  </w:r>
                  <w:r>
                    <w:rPr>
                      <w:rFonts w:hint="eastAsia" w:ascii="Times New Roman" w:hAnsi="Times New Roman" w:eastAsia="宋体"/>
                      <w:bCs/>
                      <w:color w:val="auto"/>
                      <w:sz w:val="21"/>
                      <w:szCs w:val="21"/>
                      <w:lang w:val="en-US" w:eastAsia="zh-CN"/>
                    </w:rPr>
                    <w:t>22</w:t>
                  </w:r>
                  <w:r>
                    <w:rPr>
                      <w:rFonts w:ascii="Times New Roman" w:hAnsi="Times New Roman" w:eastAsia="宋体"/>
                      <w:bCs/>
                      <w:color w:val="auto"/>
                      <w:sz w:val="21"/>
                      <w:szCs w:val="21"/>
                    </w:rPr>
                    <w:t>年</w:t>
                  </w:r>
                  <w:r>
                    <w:rPr>
                      <w:rFonts w:hint="eastAsia" w:ascii="Times New Roman" w:hAnsi="Times New Roman" w:eastAsia="宋体"/>
                      <w:bCs/>
                      <w:color w:val="auto"/>
                      <w:sz w:val="21"/>
                      <w:szCs w:val="21"/>
                      <w:lang w:val="en-US" w:eastAsia="zh-CN"/>
                    </w:rPr>
                    <w:t>2</w:t>
                  </w:r>
                  <w:r>
                    <w:rPr>
                      <w:rFonts w:ascii="Times New Roman" w:hAnsi="Times New Roman" w:eastAsia="宋体"/>
                      <w:bCs/>
                      <w:color w:val="auto"/>
                      <w:sz w:val="21"/>
                      <w:szCs w:val="21"/>
                    </w:rPr>
                    <w:t>月</w:t>
                  </w:r>
                  <w:r>
                    <w:rPr>
                      <w:rFonts w:hint="eastAsia" w:ascii="Times New Roman" w:hAnsi="Times New Roman" w:eastAsia="宋体"/>
                      <w:bCs/>
                      <w:color w:val="auto"/>
                      <w:sz w:val="21"/>
                      <w:szCs w:val="21"/>
                      <w:lang w:val="en-US" w:eastAsia="zh-CN"/>
                    </w:rPr>
                    <w:t>11</w:t>
                  </w:r>
                  <w:r>
                    <w:rPr>
                      <w:rFonts w:ascii="Times New Roman" w:hAnsi="Times New Roman" w:eastAsia="宋体"/>
                      <w:bCs/>
                      <w:color w:val="auto"/>
                      <w:sz w:val="21"/>
                      <w:szCs w:val="21"/>
                    </w:rPr>
                    <w:t>日进行了</w:t>
                  </w:r>
                  <w:r>
                    <w:rPr>
                      <w:rFonts w:hint="eastAsia" w:ascii="Times New Roman" w:hAnsi="Times New Roman" w:eastAsia="宋体"/>
                      <w:bCs/>
                      <w:color w:val="auto"/>
                      <w:sz w:val="21"/>
                      <w:szCs w:val="21"/>
                      <w:lang w:val="en-US" w:eastAsia="zh-CN"/>
                    </w:rPr>
                    <w:t>二</w:t>
                  </w:r>
                  <w:r>
                    <w:rPr>
                      <w:rFonts w:ascii="Times New Roman" w:hAnsi="Times New Roman" w:eastAsia="宋体"/>
                      <w:bCs/>
                      <w:color w:val="auto"/>
                      <w:sz w:val="21"/>
                      <w:szCs w:val="21"/>
                    </w:rPr>
                    <w:t>期工程自主验收，验收意见详见附件</w:t>
                  </w:r>
                  <w:r>
                    <w:rPr>
                      <w:rFonts w:hint="eastAsia" w:ascii="Times New Roman" w:hAnsi="Times New Roman" w:eastAsia="宋体"/>
                      <w:bCs/>
                      <w:color w:val="auto"/>
                      <w:sz w:val="21"/>
                      <w:szCs w:val="21"/>
                      <w:lang w:val="en-US" w:eastAsia="zh-CN"/>
                    </w:rPr>
                    <w:t>13</w:t>
                  </w:r>
                </w:p>
              </w:tc>
              <w:tc>
                <w:tcPr>
                  <w:tcW w:w="98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建设1条塑料颗粒生产线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4</w:t>
                  </w:r>
                </w:p>
              </w:tc>
              <w:tc>
                <w:tcPr>
                  <w:tcW w:w="846"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废旧塑料加工生产线技改项目</w:t>
                  </w:r>
                </w:p>
              </w:tc>
              <w:tc>
                <w:tcPr>
                  <w:tcW w:w="1254" w:type="pct"/>
                  <w:noWrap w:val="0"/>
                  <w:vAlign w:val="center"/>
                </w:tcPr>
                <w:p>
                  <w:pPr>
                    <w:pStyle w:val="2"/>
                    <w:adjustRightInd/>
                    <w:spacing w:before="0" w:line="240" w:lineRule="auto"/>
                    <w:ind w:left="0" w:right="0" w:firstLine="0"/>
                    <w:jc w:val="both"/>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对剩余未建3条塑料颗粒生产线技改为1条塑料丝生产线，全厂产品规模达到1.5万吨/年的塑料颗粒、0.65万吨/年的塑料丝组成。</w:t>
                  </w:r>
                </w:p>
              </w:tc>
              <w:tc>
                <w:tcPr>
                  <w:tcW w:w="777"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犍环审发[20</w:t>
                  </w:r>
                  <w:r>
                    <w:rPr>
                      <w:rFonts w:hint="eastAsia" w:ascii="Times New Roman" w:hAnsi="Times New Roman" w:eastAsia="宋体"/>
                      <w:bCs/>
                      <w:color w:val="auto"/>
                      <w:sz w:val="21"/>
                      <w:szCs w:val="21"/>
                      <w:lang w:val="en-US" w:eastAsia="zh-CN"/>
                    </w:rPr>
                    <w:t>21]05</w:t>
                  </w:r>
                  <w:r>
                    <w:rPr>
                      <w:rFonts w:ascii="Times New Roman" w:hAnsi="Times New Roman" w:eastAsia="宋体"/>
                      <w:bCs/>
                      <w:color w:val="auto"/>
                      <w:sz w:val="21"/>
                      <w:szCs w:val="21"/>
                    </w:rPr>
                    <w:t>号</w:t>
                  </w:r>
                </w:p>
              </w:tc>
              <w:tc>
                <w:tcPr>
                  <w:tcW w:w="800" w:type="pct"/>
                  <w:noWrap w:val="0"/>
                  <w:vAlign w:val="center"/>
                </w:tcPr>
                <w:p>
                  <w:pPr>
                    <w:pStyle w:val="2"/>
                    <w:adjustRightInd/>
                    <w:spacing w:before="0" w:line="240" w:lineRule="auto"/>
                    <w:ind w:left="0" w:right="0" w:firstLine="0"/>
                    <w:jc w:val="both"/>
                    <w:textAlignment w:val="auto"/>
                    <w:rPr>
                      <w:rFonts w:hint="default" w:ascii="Times New Roman" w:hAnsi="Times New Roman" w:eastAsia="宋体"/>
                      <w:bCs/>
                      <w:color w:val="auto"/>
                      <w:sz w:val="21"/>
                      <w:szCs w:val="21"/>
                      <w:lang w:val="en-US" w:eastAsia="zh-CN"/>
                    </w:rPr>
                  </w:pPr>
                  <w:r>
                    <w:rPr>
                      <w:rFonts w:ascii="Times New Roman" w:hAnsi="Times New Roman" w:eastAsia="宋体"/>
                      <w:bCs/>
                      <w:color w:val="auto"/>
                      <w:sz w:val="21"/>
                      <w:szCs w:val="21"/>
                    </w:rPr>
                    <w:t>于20</w:t>
                  </w:r>
                  <w:r>
                    <w:rPr>
                      <w:rFonts w:hint="eastAsia" w:ascii="Times New Roman" w:hAnsi="Times New Roman" w:eastAsia="宋体"/>
                      <w:bCs/>
                      <w:color w:val="auto"/>
                      <w:sz w:val="21"/>
                      <w:szCs w:val="21"/>
                      <w:lang w:val="en-US" w:eastAsia="zh-CN"/>
                    </w:rPr>
                    <w:t>22</w:t>
                  </w:r>
                  <w:r>
                    <w:rPr>
                      <w:rFonts w:ascii="Times New Roman" w:hAnsi="Times New Roman" w:eastAsia="宋体"/>
                      <w:bCs/>
                      <w:color w:val="auto"/>
                      <w:sz w:val="21"/>
                      <w:szCs w:val="21"/>
                    </w:rPr>
                    <w:t>年</w:t>
                  </w:r>
                  <w:r>
                    <w:rPr>
                      <w:rFonts w:hint="eastAsia" w:ascii="Times New Roman" w:hAnsi="Times New Roman" w:eastAsia="宋体"/>
                      <w:bCs/>
                      <w:color w:val="auto"/>
                      <w:sz w:val="21"/>
                      <w:szCs w:val="21"/>
                      <w:lang w:val="en-US" w:eastAsia="zh-CN"/>
                    </w:rPr>
                    <w:t>2</w:t>
                  </w:r>
                  <w:r>
                    <w:rPr>
                      <w:rFonts w:ascii="Times New Roman" w:hAnsi="Times New Roman" w:eastAsia="宋体"/>
                      <w:bCs/>
                      <w:color w:val="auto"/>
                      <w:sz w:val="21"/>
                      <w:szCs w:val="21"/>
                    </w:rPr>
                    <w:t>月</w:t>
                  </w:r>
                  <w:r>
                    <w:rPr>
                      <w:rFonts w:hint="eastAsia" w:ascii="Times New Roman" w:hAnsi="Times New Roman" w:eastAsia="宋体"/>
                      <w:bCs/>
                      <w:color w:val="auto"/>
                      <w:sz w:val="21"/>
                      <w:szCs w:val="21"/>
                      <w:lang w:val="en-US" w:eastAsia="zh-CN"/>
                    </w:rPr>
                    <w:t>11</w:t>
                  </w:r>
                  <w:r>
                    <w:rPr>
                      <w:rFonts w:ascii="Times New Roman" w:hAnsi="Times New Roman" w:eastAsia="宋体"/>
                      <w:bCs/>
                      <w:color w:val="auto"/>
                      <w:sz w:val="21"/>
                      <w:szCs w:val="21"/>
                    </w:rPr>
                    <w:t>日进行了自主验收，验收意见详见附件</w:t>
                  </w:r>
                  <w:r>
                    <w:rPr>
                      <w:rFonts w:hint="eastAsia" w:ascii="Times New Roman" w:hAnsi="Times New Roman" w:eastAsia="宋体"/>
                      <w:bCs/>
                      <w:color w:val="auto"/>
                      <w:sz w:val="21"/>
                      <w:szCs w:val="21"/>
                      <w:lang w:val="en-US" w:eastAsia="zh-CN"/>
                    </w:rPr>
                    <w:t>13</w:t>
                  </w:r>
                </w:p>
              </w:tc>
              <w:tc>
                <w:tcPr>
                  <w:tcW w:w="98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建设</w:t>
                  </w:r>
                  <w:r>
                    <w:rPr>
                      <w:rFonts w:hint="eastAsia" w:ascii="Times New Roman" w:hAnsi="Times New Roman" w:eastAsia="宋体"/>
                      <w:bCs/>
                      <w:color w:val="auto"/>
                      <w:sz w:val="21"/>
                      <w:szCs w:val="21"/>
                    </w:rPr>
                    <w:t>1条塑料丝生产线</w:t>
                  </w:r>
                </w:p>
              </w:tc>
            </w:tr>
          </w:tbl>
          <w:p>
            <w:pPr>
              <w:adjustRightInd w:val="0"/>
              <w:rPr>
                <w:rFonts w:hint="eastAsia" w:ascii="Times New Roman" w:hAnsi="Times New Roman"/>
                <w:b/>
                <w:bCs/>
                <w:color w:val="auto"/>
                <w:sz w:val="24"/>
                <w:szCs w:val="28"/>
              </w:rPr>
            </w:pPr>
            <w:r>
              <w:rPr>
                <w:rFonts w:hint="eastAsia" w:ascii="Times New Roman" w:hAnsi="Times New Roman"/>
                <w:b/>
                <w:bCs/>
                <w:color w:val="auto"/>
                <w:sz w:val="24"/>
                <w:szCs w:val="28"/>
              </w:rPr>
              <w:t>三、</w:t>
            </w:r>
            <w:r>
              <w:rPr>
                <w:rFonts w:hint="eastAsia" w:ascii="Times New Roman" w:hAnsi="Times New Roman"/>
                <w:b/>
                <w:bCs/>
                <w:color w:val="auto"/>
                <w:sz w:val="24"/>
                <w:szCs w:val="28"/>
                <w:lang w:val="en-US" w:eastAsia="zh-CN"/>
              </w:rPr>
              <w:t>原</w:t>
            </w:r>
            <w:r>
              <w:rPr>
                <w:rFonts w:hint="eastAsia" w:ascii="Times New Roman" w:hAnsi="Times New Roman"/>
                <w:b/>
                <w:bCs/>
                <w:color w:val="auto"/>
                <w:sz w:val="24"/>
                <w:szCs w:val="28"/>
              </w:rPr>
              <w:t>项目组成及主要环境问题</w:t>
            </w:r>
          </w:p>
          <w:p>
            <w:pPr>
              <w:ind w:firstLine="482" w:firstLineChars="200"/>
              <w:rPr>
                <w:rFonts w:ascii="Times New Roman" w:hAnsi="Times New Roman"/>
                <w:b/>
                <w:bCs/>
                <w:color w:val="auto"/>
                <w:sz w:val="24"/>
                <w:szCs w:val="32"/>
              </w:rPr>
            </w:pPr>
            <w:r>
              <w:rPr>
                <w:rFonts w:hint="eastAsia" w:ascii="Times New Roman" w:hAnsi="Times New Roman"/>
                <w:b/>
                <w:bCs/>
                <w:color w:val="auto"/>
                <w:sz w:val="24"/>
                <w:szCs w:val="32"/>
              </w:rPr>
              <w:t>1、</w:t>
            </w:r>
            <w:r>
              <w:rPr>
                <w:rFonts w:hint="eastAsia" w:ascii="Times New Roman" w:hAnsi="Times New Roman"/>
                <w:b/>
                <w:bCs/>
                <w:color w:val="auto"/>
                <w:sz w:val="24"/>
                <w:szCs w:val="32"/>
                <w:lang w:val="en-US" w:eastAsia="zh-CN"/>
              </w:rPr>
              <w:t>原</w:t>
            </w:r>
            <w:r>
              <w:rPr>
                <w:rFonts w:hint="eastAsia" w:ascii="Times New Roman" w:hAnsi="Times New Roman"/>
                <w:b/>
                <w:bCs/>
                <w:color w:val="auto"/>
                <w:sz w:val="24"/>
                <w:szCs w:val="32"/>
              </w:rPr>
              <w:t>项目组成</w:t>
            </w:r>
          </w:p>
          <w:p>
            <w:pPr>
              <w:spacing w:line="240" w:lineRule="auto"/>
              <w:jc w:val="center"/>
              <w:rPr>
                <w:rFonts w:ascii="Times New Roman" w:hAnsi="Times New Roman"/>
                <w:b/>
                <w:bCs/>
                <w:color w:val="auto"/>
                <w:sz w:val="21"/>
                <w:szCs w:val="21"/>
              </w:rPr>
            </w:pPr>
          </w:p>
          <w:p>
            <w:pPr>
              <w:spacing w:line="240" w:lineRule="auto"/>
              <w:jc w:val="center"/>
              <w:rPr>
                <w:rFonts w:ascii="Times New Roman" w:hAnsi="Times New Roman"/>
                <w:b/>
                <w:bCs/>
                <w:color w:val="auto"/>
                <w:sz w:val="21"/>
                <w:szCs w:val="21"/>
              </w:rPr>
            </w:pPr>
          </w:p>
          <w:p>
            <w:pPr>
              <w:spacing w:line="240" w:lineRule="auto"/>
              <w:jc w:val="center"/>
              <w:rPr>
                <w:rFonts w:ascii="Times New Roman" w:hAnsi="Times New Roman"/>
                <w:b/>
                <w:bCs/>
                <w:color w:val="auto"/>
                <w:sz w:val="21"/>
                <w:szCs w:val="21"/>
              </w:rPr>
            </w:pP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2-7</w:t>
            </w:r>
            <w:r>
              <w:rPr>
                <w:rFonts w:ascii="Times New Roman" w:hAnsi="Times New Roman"/>
                <w:b/>
                <w:bCs/>
                <w:color w:val="auto"/>
                <w:sz w:val="21"/>
                <w:szCs w:val="21"/>
              </w:rPr>
              <w:t xml:space="preserve">  </w:t>
            </w:r>
            <w:r>
              <w:rPr>
                <w:rFonts w:hint="eastAsia" w:ascii="Times New Roman" w:hAnsi="Times New Roman"/>
                <w:b/>
                <w:bCs/>
                <w:color w:val="auto"/>
                <w:sz w:val="21"/>
                <w:szCs w:val="21"/>
                <w:lang w:val="en-US" w:eastAsia="zh-CN"/>
              </w:rPr>
              <w:t>原</w:t>
            </w:r>
            <w:r>
              <w:rPr>
                <w:rFonts w:ascii="Times New Roman" w:hAnsi="Times New Roman"/>
                <w:b/>
                <w:bCs/>
                <w:color w:val="auto"/>
                <w:sz w:val="21"/>
                <w:szCs w:val="21"/>
              </w:rPr>
              <w:t>项目组成及工程建设内容</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25"/>
              <w:gridCol w:w="1751"/>
              <w:gridCol w:w="4272"/>
              <w:gridCol w:w="15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513" w:type="pct"/>
                  <w:gridSpan w:val="3"/>
                  <w:shd w:val="clear" w:color="auto" w:fill="DCE6F2"/>
                  <w:noWrap w:val="0"/>
                  <w:vAlign w:val="center"/>
                </w:tcPr>
                <w:p>
                  <w:pPr>
                    <w:pStyle w:val="25"/>
                    <w:widowControl/>
                    <w:spacing w:before="0" w:beforeAutospacing="0" w:after="0" w:afterAutospacing="0"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名称</w:t>
                  </w:r>
                </w:p>
              </w:tc>
              <w:tc>
                <w:tcPr>
                  <w:tcW w:w="2545" w:type="pct"/>
                  <w:shd w:val="clear" w:color="auto" w:fill="DCE6F2"/>
                  <w:noWrap w:val="0"/>
                  <w:vAlign w:val="center"/>
                </w:tcPr>
                <w:p>
                  <w:pPr>
                    <w:pStyle w:val="25"/>
                    <w:widowControl/>
                    <w:spacing w:before="0" w:beforeAutospacing="0" w:after="0" w:afterAutospacing="0" w:line="240" w:lineRule="auto"/>
                    <w:jc w:val="center"/>
                    <w:rPr>
                      <w:rFonts w:hint="eastAsia" w:ascii="Times New Roman" w:hAnsi="Times New Roman" w:eastAsia="宋体"/>
                      <w:b/>
                      <w:bCs w:val="0"/>
                      <w:color w:val="auto"/>
                      <w:sz w:val="21"/>
                      <w:szCs w:val="21"/>
                      <w:lang w:eastAsia="zh-CN"/>
                    </w:rPr>
                  </w:pPr>
                  <w:r>
                    <w:rPr>
                      <w:rFonts w:hint="eastAsia" w:ascii="Times New Roman" w:hAnsi="Times New Roman"/>
                      <w:b/>
                      <w:bCs w:val="0"/>
                      <w:color w:val="auto"/>
                      <w:sz w:val="21"/>
                      <w:szCs w:val="21"/>
                      <w:lang w:val="en-US" w:eastAsia="zh-CN"/>
                    </w:rPr>
                    <w:t>建设内容</w:t>
                  </w:r>
                </w:p>
              </w:tc>
              <w:tc>
                <w:tcPr>
                  <w:tcW w:w="940" w:type="pct"/>
                  <w:shd w:val="clear" w:color="auto" w:fill="DCE6F2"/>
                  <w:noWrap w:val="0"/>
                  <w:vAlign w:val="center"/>
                </w:tcPr>
                <w:p>
                  <w:pPr>
                    <w:pStyle w:val="25"/>
                    <w:widowControl/>
                    <w:spacing w:before="0" w:beforeAutospacing="0" w:after="0" w:afterAutospacing="0"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产生的主要环境问题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restar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主体工程</w:t>
                  </w:r>
                </w:p>
              </w:tc>
              <w:tc>
                <w:tcPr>
                  <w:tcW w:w="1058" w:type="pct"/>
                  <w:gridSpan w:val="2"/>
                  <w:vMerge w:val="restar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生产车间，面积约15955.3m</w:t>
                  </w:r>
                  <w:r>
                    <w:rPr>
                      <w:rFonts w:ascii="Times New Roman" w:hAnsi="Times New Roman"/>
                      <w:bCs/>
                      <w:color w:val="auto"/>
                      <w:sz w:val="21"/>
                      <w:szCs w:val="21"/>
                      <w:vertAlign w:val="superscript"/>
                    </w:rPr>
                    <w:t>2</w:t>
                  </w:r>
                  <w:r>
                    <w:rPr>
                      <w:rFonts w:ascii="Times New Roman" w:hAnsi="Times New Roman"/>
                      <w:bCs/>
                      <w:color w:val="auto"/>
                      <w:sz w:val="21"/>
                      <w:szCs w:val="21"/>
                    </w:rPr>
                    <w:t>，四边形，框架结构</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color w:val="auto"/>
                      <w:sz w:val="21"/>
                      <w:szCs w:val="21"/>
                    </w:rPr>
                    <w:t>三条颗粒生产线，位于生产</w:t>
                  </w:r>
                  <w:r>
                    <w:rPr>
                      <w:rFonts w:hint="eastAsia"/>
                      <w:color w:val="auto"/>
                      <w:sz w:val="21"/>
                      <w:szCs w:val="21"/>
                    </w:rPr>
                    <w:t>车间东区</w:t>
                  </w:r>
                  <w:r>
                    <w:rPr>
                      <w:rFonts w:ascii="Times New Roman" w:hAnsi="Times New Roman"/>
                      <w:color w:val="auto"/>
                      <w:sz w:val="21"/>
                      <w:szCs w:val="21"/>
                    </w:rPr>
                    <w:t>南侧，流程为废旧塑料原料—人工分选—粉碎—清洗—熔融（电能）—挤出—切粒—包装入库；生产线上布置有上料机、粉碎机、甩干机、造粒机等相关机械设备。</w:t>
                  </w:r>
                </w:p>
              </w:tc>
              <w:tc>
                <w:tcPr>
                  <w:tcW w:w="940" w:type="pct"/>
                  <w:noWrap w:val="0"/>
                  <w:vAlign w:val="center"/>
                </w:tcPr>
                <w:p>
                  <w:pPr>
                    <w:pStyle w:val="25"/>
                    <w:widowControl/>
                    <w:spacing w:before="0" w:beforeAutospacing="0" w:after="0" w:afterAutospacing="0" w:line="240" w:lineRule="auto"/>
                    <w:jc w:val="center"/>
                    <w:rPr>
                      <w:rFonts w:hint="default" w:ascii="Times New Roman" w:hAnsi="Times New Roman" w:eastAsia="宋体"/>
                      <w:bCs/>
                      <w:color w:val="auto"/>
                      <w:sz w:val="21"/>
                      <w:szCs w:val="21"/>
                      <w:lang w:val="en-US" w:eastAsia="zh-CN"/>
                    </w:rPr>
                  </w:pPr>
                  <w:r>
                    <w:rPr>
                      <w:rFonts w:hint="eastAsia"/>
                      <w:bCs/>
                      <w:color w:val="auto"/>
                      <w:sz w:val="21"/>
                      <w:szCs w:val="21"/>
                    </w:rPr>
                    <w:t>熔融废气、烧网废气</w:t>
                  </w:r>
                  <w:r>
                    <w:rPr>
                      <w:rFonts w:hint="eastAsia"/>
                      <w:bCs/>
                      <w:color w:val="auto"/>
                      <w:sz w:val="21"/>
                      <w:szCs w:val="21"/>
                      <w:lang w:eastAsia="zh-CN"/>
                    </w:rPr>
                    <w:t>、</w:t>
                  </w:r>
                  <w:r>
                    <w:rPr>
                      <w:rFonts w:hint="eastAsia"/>
                      <w:bCs/>
                      <w:color w:val="auto"/>
                      <w:sz w:val="21"/>
                      <w:szCs w:val="21"/>
                      <w:lang w:val="en-US" w:eastAsia="zh-CN"/>
                    </w:rPr>
                    <w:t>噪声、废水、固废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58" w:type="pct"/>
                  <w:gridSpan w:val="2"/>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2545" w:type="pct"/>
                  <w:noWrap w:val="0"/>
                  <w:vAlign w:val="center"/>
                </w:tcPr>
                <w:p>
                  <w:pPr>
                    <w:pStyle w:val="25"/>
                    <w:widowControl/>
                    <w:spacing w:before="0" w:beforeAutospacing="0" w:after="0" w:afterAutospacing="0" w:line="240" w:lineRule="auto"/>
                    <w:jc w:val="center"/>
                    <w:rPr>
                      <w:rFonts w:ascii="Times New Roman" w:hAnsi="Times New Roman"/>
                      <w:color w:val="auto"/>
                      <w:sz w:val="21"/>
                      <w:szCs w:val="21"/>
                    </w:rPr>
                  </w:pPr>
                  <w:r>
                    <w:rPr>
                      <w:rFonts w:hint="eastAsia" w:ascii="Times New Roman" w:hAnsi="Times New Roman"/>
                      <w:color w:val="auto"/>
                      <w:sz w:val="21"/>
                      <w:szCs w:val="21"/>
                    </w:rPr>
                    <w:t>一</w:t>
                  </w:r>
                  <w:r>
                    <w:rPr>
                      <w:rFonts w:ascii="Times New Roman" w:hAnsi="Times New Roman"/>
                      <w:color w:val="auto"/>
                      <w:sz w:val="21"/>
                      <w:szCs w:val="21"/>
                    </w:rPr>
                    <w:t>条</w:t>
                  </w:r>
                  <w:r>
                    <w:rPr>
                      <w:rFonts w:hint="eastAsia" w:ascii="Times New Roman" w:hAnsi="Times New Roman"/>
                      <w:color w:val="auto"/>
                      <w:sz w:val="21"/>
                      <w:szCs w:val="21"/>
                    </w:rPr>
                    <w:t>颗粒拉丝</w:t>
                  </w:r>
                  <w:r>
                    <w:rPr>
                      <w:rFonts w:ascii="Times New Roman" w:hAnsi="Times New Roman"/>
                      <w:color w:val="auto"/>
                      <w:sz w:val="21"/>
                      <w:szCs w:val="21"/>
                    </w:rPr>
                    <w:t>生产线，位于生产</w:t>
                  </w:r>
                  <w:r>
                    <w:rPr>
                      <w:rFonts w:hint="eastAsia"/>
                      <w:color w:val="auto"/>
                      <w:sz w:val="21"/>
                      <w:szCs w:val="21"/>
                    </w:rPr>
                    <w:t>车间东区中部</w:t>
                  </w:r>
                  <w:r>
                    <w:rPr>
                      <w:rFonts w:ascii="Times New Roman" w:hAnsi="Times New Roman"/>
                      <w:color w:val="auto"/>
                      <w:sz w:val="21"/>
                      <w:szCs w:val="21"/>
                    </w:rPr>
                    <w:t>，流程为废旧塑料原料—人工分选—粉碎—清洗—熔融（电能）—挤出—切粒—</w:t>
                  </w:r>
                  <w:r>
                    <w:rPr>
                      <w:rFonts w:hint="eastAsia" w:ascii="Times New Roman" w:hAnsi="Times New Roman"/>
                      <w:color w:val="auto"/>
                      <w:sz w:val="21"/>
                      <w:szCs w:val="21"/>
                    </w:rPr>
                    <w:t>混入</w:t>
                  </w:r>
                  <w:r>
                    <w:rPr>
                      <w:rFonts w:hint="eastAsia"/>
                      <w:color w:val="auto"/>
                      <w:sz w:val="21"/>
                      <w:szCs w:val="21"/>
                    </w:rPr>
                    <w:t>聚丙烯新料、色母</w:t>
                  </w:r>
                  <w:r>
                    <w:rPr>
                      <w:rFonts w:ascii="Times New Roman" w:hAnsi="Times New Roman"/>
                      <w:color w:val="auto"/>
                      <w:sz w:val="21"/>
                      <w:szCs w:val="21"/>
                    </w:rPr>
                    <w:t>—配料—搅拌—拉丝—收卷—包装入库；生产线上布置有上料机、粉碎机、甩干机、造粒机</w:t>
                  </w:r>
                  <w:r>
                    <w:rPr>
                      <w:rFonts w:hint="eastAsia" w:ascii="Times New Roman" w:hAnsi="Times New Roman"/>
                      <w:color w:val="auto"/>
                      <w:sz w:val="21"/>
                      <w:szCs w:val="21"/>
                    </w:rPr>
                    <w:t>、</w:t>
                  </w:r>
                  <w:r>
                    <w:rPr>
                      <w:rFonts w:ascii="Times New Roman" w:hAnsi="Times New Roman"/>
                      <w:color w:val="auto"/>
                      <w:sz w:val="21"/>
                      <w:szCs w:val="21"/>
                    </w:rPr>
                    <w:t>拉丝机、冷却塔等相关机械设备。</w:t>
                  </w:r>
                </w:p>
              </w:tc>
              <w:tc>
                <w:tcPr>
                  <w:tcW w:w="940" w:type="pct"/>
                  <w:noWrap w:val="0"/>
                  <w:vAlign w:val="center"/>
                </w:tcPr>
                <w:p>
                  <w:pPr>
                    <w:pStyle w:val="25"/>
                    <w:widowControl/>
                    <w:spacing w:before="0" w:beforeAutospacing="0" w:after="0" w:afterAutospacing="0" w:line="240" w:lineRule="auto"/>
                    <w:jc w:val="center"/>
                    <w:rPr>
                      <w:rFonts w:hint="default" w:ascii="Times New Roman" w:hAnsi="Times New Roman" w:eastAsia="宋体"/>
                      <w:bCs/>
                      <w:color w:val="auto"/>
                      <w:sz w:val="21"/>
                      <w:szCs w:val="21"/>
                      <w:lang w:val="en-US" w:eastAsia="zh-CN"/>
                    </w:rPr>
                  </w:pPr>
                  <w:r>
                    <w:rPr>
                      <w:rFonts w:hint="eastAsia"/>
                      <w:bCs/>
                      <w:color w:val="auto"/>
                      <w:sz w:val="21"/>
                      <w:szCs w:val="21"/>
                    </w:rPr>
                    <w:t>熔融废气、拉丝废气</w:t>
                  </w:r>
                  <w:r>
                    <w:rPr>
                      <w:rFonts w:hint="eastAsia"/>
                      <w:bCs/>
                      <w:color w:val="auto"/>
                      <w:sz w:val="21"/>
                      <w:szCs w:val="21"/>
                      <w:lang w:eastAsia="zh-CN"/>
                    </w:rPr>
                    <w:t>、</w:t>
                  </w:r>
                  <w:r>
                    <w:rPr>
                      <w:rFonts w:hint="eastAsia"/>
                      <w:bCs/>
                      <w:color w:val="auto"/>
                      <w:sz w:val="21"/>
                      <w:szCs w:val="21"/>
                      <w:lang w:val="en-US" w:eastAsia="zh-CN"/>
                    </w:rPr>
                    <w:t>噪声、固废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restar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仓储及其他</w:t>
                  </w:r>
                </w:p>
              </w:tc>
              <w:tc>
                <w:tcPr>
                  <w:tcW w:w="1058" w:type="pct"/>
                  <w:gridSpan w:val="2"/>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废旧塑料堆放区</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位于生产</w:t>
                  </w:r>
                  <w:r>
                    <w:rPr>
                      <w:rFonts w:hint="eastAsia"/>
                      <w:bCs/>
                      <w:color w:val="auto"/>
                      <w:sz w:val="21"/>
                      <w:szCs w:val="21"/>
                    </w:rPr>
                    <w:t>车间西区</w:t>
                  </w:r>
                  <w:r>
                    <w:rPr>
                      <w:rFonts w:ascii="Times New Roman" w:hAnsi="Times New Roman"/>
                      <w:bCs/>
                      <w:color w:val="auto"/>
                      <w:sz w:val="21"/>
                      <w:szCs w:val="21"/>
                    </w:rPr>
                    <w:t>，占地面积约</w:t>
                  </w:r>
                  <w:r>
                    <w:rPr>
                      <w:rFonts w:hint="eastAsia"/>
                      <w:bCs/>
                      <w:color w:val="auto"/>
                      <w:sz w:val="21"/>
                      <w:szCs w:val="21"/>
                    </w:rPr>
                    <w:t>40</w:t>
                  </w:r>
                  <w:r>
                    <w:rPr>
                      <w:rFonts w:ascii="Times New Roman" w:hAnsi="Times New Roman"/>
                      <w:bCs/>
                      <w:color w:val="auto"/>
                      <w:sz w:val="21"/>
                      <w:szCs w:val="21"/>
                    </w:rPr>
                    <w:t>00m</w:t>
                  </w:r>
                  <w:r>
                    <w:rPr>
                      <w:rFonts w:ascii="Times New Roman" w:hAnsi="Times New Roman"/>
                      <w:bCs/>
                      <w:color w:val="auto"/>
                      <w:sz w:val="21"/>
                      <w:szCs w:val="21"/>
                      <w:vertAlign w:val="superscript"/>
                    </w:rPr>
                    <w:t>2</w:t>
                  </w:r>
                  <w:r>
                    <w:rPr>
                      <w:rFonts w:ascii="Times New Roman" w:hAnsi="Times New Roman"/>
                      <w:bCs/>
                      <w:color w:val="auto"/>
                      <w:sz w:val="21"/>
                      <w:szCs w:val="21"/>
                    </w:rPr>
                    <w:t>，料场区域与同一车间内的其他区域隔出一定的距离，并在区域内设置明显标志，明确要求禁止该区域内存放除原料外的其他物品。</w:t>
                  </w:r>
                </w:p>
              </w:tc>
              <w:tc>
                <w:tcPr>
                  <w:tcW w:w="940"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58" w:type="pct"/>
                  <w:gridSpan w:val="2"/>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hint="eastAsia" w:ascii="Times New Roman" w:hAnsi="Times New Roman"/>
                      <w:bCs/>
                      <w:color w:val="auto"/>
                      <w:sz w:val="21"/>
                      <w:szCs w:val="21"/>
                    </w:rPr>
                    <w:t>塑料</w:t>
                  </w:r>
                  <w:r>
                    <w:rPr>
                      <w:rFonts w:ascii="Times New Roman" w:hAnsi="Times New Roman"/>
                      <w:bCs/>
                      <w:color w:val="auto"/>
                      <w:sz w:val="21"/>
                      <w:szCs w:val="21"/>
                    </w:rPr>
                    <w:t>颗粒堆放区</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位于生产</w:t>
                  </w:r>
                  <w:r>
                    <w:rPr>
                      <w:rFonts w:hint="eastAsia"/>
                      <w:bCs/>
                      <w:color w:val="auto"/>
                      <w:sz w:val="21"/>
                      <w:szCs w:val="21"/>
                    </w:rPr>
                    <w:t>车间东区北</w:t>
                  </w:r>
                  <w:r>
                    <w:rPr>
                      <w:rFonts w:ascii="Times New Roman" w:hAnsi="Times New Roman"/>
                      <w:bCs/>
                      <w:color w:val="auto"/>
                      <w:sz w:val="21"/>
                      <w:szCs w:val="21"/>
                    </w:rPr>
                    <w:t>侧，用于存放颗粒产品，</w:t>
                  </w:r>
                  <w:r>
                    <w:rPr>
                      <w:rFonts w:hint="eastAsia"/>
                      <w:bCs/>
                      <w:color w:val="auto"/>
                      <w:sz w:val="21"/>
                      <w:szCs w:val="21"/>
                    </w:rPr>
                    <w:t>临近</w:t>
                  </w:r>
                  <w:r>
                    <w:rPr>
                      <w:rFonts w:ascii="Times New Roman" w:hAnsi="Times New Roman"/>
                      <w:bCs/>
                      <w:color w:val="auto"/>
                      <w:sz w:val="21"/>
                      <w:szCs w:val="21"/>
                    </w:rPr>
                    <w:t>项目生产</w:t>
                  </w:r>
                  <w:r>
                    <w:rPr>
                      <w:rFonts w:hint="eastAsia"/>
                      <w:bCs/>
                      <w:color w:val="auto"/>
                      <w:sz w:val="21"/>
                      <w:szCs w:val="21"/>
                    </w:rPr>
                    <w:t>车间北</w:t>
                  </w:r>
                  <w:r>
                    <w:rPr>
                      <w:rFonts w:ascii="Times New Roman" w:hAnsi="Times New Roman"/>
                      <w:bCs/>
                      <w:color w:val="auto"/>
                      <w:sz w:val="21"/>
                      <w:szCs w:val="21"/>
                    </w:rPr>
                    <w:t>侧大门，便于产品的堆放及运送，占地面积约</w:t>
                  </w:r>
                  <w:r>
                    <w:rPr>
                      <w:rFonts w:hint="eastAsia"/>
                      <w:bCs/>
                      <w:color w:val="auto"/>
                      <w:sz w:val="21"/>
                      <w:szCs w:val="21"/>
                    </w:rPr>
                    <w:t>6</w:t>
                  </w:r>
                  <w:r>
                    <w:rPr>
                      <w:rFonts w:ascii="Times New Roman" w:hAnsi="Times New Roman"/>
                      <w:bCs/>
                      <w:color w:val="auto"/>
                      <w:sz w:val="21"/>
                      <w:szCs w:val="21"/>
                    </w:rPr>
                    <w:t>00m</w:t>
                  </w:r>
                  <w:r>
                    <w:rPr>
                      <w:rFonts w:ascii="Times New Roman" w:hAnsi="Times New Roman"/>
                      <w:bCs/>
                      <w:color w:val="auto"/>
                      <w:sz w:val="21"/>
                      <w:szCs w:val="21"/>
                      <w:vertAlign w:val="superscript"/>
                    </w:rPr>
                    <w:t>2</w:t>
                  </w:r>
                  <w:r>
                    <w:rPr>
                      <w:rFonts w:ascii="Times New Roman" w:hAnsi="Times New Roman"/>
                      <w:bCs/>
                      <w:color w:val="auto"/>
                      <w:sz w:val="21"/>
                      <w:szCs w:val="21"/>
                    </w:rPr>
                    <w:t>。</w:t>
                  </w:r>
                </w:p>
              </w:tc>
              <w:tc>
                <w:tcPr>
                  <w:tcW w:w="940"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58" w:type="pct"/>
                  <w:gridSpan w:val="2"/>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塑料丝堆放区</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位于生产</w:t>
                  </w:r>
                  <w:r>
                    <w:rPr>
                      <w:rFonts w:hint="eastAsia"/>
                      <w:bCs/>
                      <w:color w:val="auto"/>
                      <w:sz w:val="21"/>
                      <w:szCs w:val="21"/>
                    </w:rPr>
                    <w:t>车间东区北</w:t>
                  </w:r>
                  <w:r>
                    <w:rPr>
                      <w:rFonts w:ascii="Times New Roman" w:hAnsi="Times New Roman"/>
                      <w:bCs/>
                      <w:color w:val="auto"/>
                      <w:sz w:val="21"/>
                      <w:szCs w:val="21"/>
                    </w:rPr>
                    <w:t>侧，用于存放塑料丝产品，紧邻项目拉丝生产线收卷包装位置，同时邻近项目生产厂房</w:t>
                  </w:r>
                  <w:r>
                    <w:rPr>
                      <w:rFonts w:hint="eastAsia"/>
                      <w:bCs/>
                      <w:color w:val="auto"/>
                      <w:sz w:val="21"/>
                      <w:szCs w:val="21"/>
                    </w:rPr>
                    <w:t>北</w:t>
                  </w:r>
                  <w:r>
                    <w:rPr>
                      <w:rFonts w:ascii="Times New Roman" w:hAnsi="Times New Roman"/>
                      <w:bCs/>
                      <w:color w:val="auto"/>
                      <w:sz w:val="21"/>
                      <w:szCs w:val="21"/>
                    </w:rPr>
                    <w:t>侧大门，便于产品的堆放及运送，占地面积约600m</w:t>
                  </w:r>
                  <w:r>
                    <w:rPr>
                      <w:rFonts w:ascii="Times New Roman" w:hAnsi="Times New Roman"/>
                      <w:bCs/>
                      <w:color w:val="auto"/>
                      <w:sz w:val="21"/>
                      <w:szCs w:val="21"/>
                      <w:vertAlign w:val="superscript"/>
                    </w:rPr>
                    <w:t>2</w:t>
                  </w:r>
                  <w:r>
                    <w:rPr>
                      <w:rFonts w:ascii="Times New Roman" w:hAnsi="Times New Roman"/>
                      <w:bCs/>
                      <w:color w:val="auto"/>
                      <w:sz w:val="21"/>
                      <w:szCs w:val="21"/>
                    </w:rPr>
                    <w:t>。</w:t>
                  </w:r>
                </w:p>
              </w:tc>
              <w:tc>
                <w:tcPr>
                  <w:tcW w:w="940"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restar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环保工程</w:t>
                  </w:r>
                </w:p>
              </w:tc>
              <w:tc>
                <w:tcPr>
                  <w:tcW w:w="1058" w:type="pct"/>
                  <w:gridSpan w:val="2"/>
                  <w:vMerge w:val="restar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废气</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hint="eastAsia" w:ascii="Times New Roman" w:hAnsi="Times New Roman"/>
                      <w:bCs/>
                      <w:color w:val="auto"/>
                      <w:sz w:val="21"/>
                      <w:szCs w:val="21"/>
                      <w:lang w:eastAsia="zh-CN"/>
                    </w:rPr>
                    <w:t>集气罩</w:t>
                  </w:r>
                  <w:r>
                    <w:rPr>
                      <w:rFonts w:hint="eastAsia" w:ascii="Times New Roman" w:hAnsi="Times New Roman"/>
                      <w:bCs/>
                      <w:color w:val="auto"/>
                      <w:sz w:val="21"/>
                      <w:szCs w:val="21"/>
                      <w:lang w:val="en-US" w:eastAsia="zh-CN"/>
                    </w:rPr>
                    <w:t>、塑料门帘+</w:t>
                  </w:r>
                  <w:r>
                    <w:rPr>
                      <w:rFonts w:ascii="Times New Roman" w:hAnsi="Times New Roman"/>
                      <w:bCs/>
                      <w:color w:val="auto"/>
                      <w:sz w:val="21"/>
                      <w:szCs w:val="21"/>
                    </w:rPr>
                    <w:t>布袋除尘器+水膜+喷淋塔+UV光解+低温等离子</w:t>
                  </w:r>
                  <w:r>
                    <w:rPr>
                      <w:rFonts w:hint="eastAsia" w:ascii="Times New Roman" w:hAnsi="Times New Roman"/>
                      <w:bCs/>
                      <w:color w:val="auto"/>
                      <w:sz w:val="21"/>
                      <w:szCs w:val="21"/>
                      <w:lang w:val="en-US" w:eastAsia="zh-CN"/>
                    </w:rPr>
                    <w:t>+</w:t>
                  </w:r>
                  <w:r>
                    <w:rPr>
                      <w:rFonts w:hint="eastAsia"/>
                      <w:bCs/>
                      <w:color w:val="auto"/>
                      <w:sz w:val="21"/>
                      <w:szCs w:val="21"/>
                    </w:rPr>
                    <w:t>二级活性炭吸附处理设</w:t>
                  </w:r>
                  <w:r>
                    <w:rPr>
                      <w:rFonts w:ascii="Times New Roman" w:hAnsi="Times New Roman"/>
                      <w:bCs/>
                      <w:color w:val="auto"/>
                      <w:sz w:val="21"/>
                      <w:szCs w:val="21"/>
                    </w:rPr>
                    <w:t>备一同处理造粒、拉丝</w:t>
                  </w:r>
                  <w:r>
                    <w:rPr>
                      <w:rFonts w:hint="eastAsia" w:ascii="Times New Roman" w:hAnsi="Times New Roman"/>
                      <w:bCs/>
                      <w:color w:val="auto"/>
                      <w:sz w:val="21"/>
                      <w:szCs w:val="21"/>
                      <w:lang w:eastAsia="zh-CN"/>
                    </w:rPr>
                    <w:t>、</w:t>
                  </w:r>
                  <w:r>
                    <w:rPr>
                      <w:rFonts w:hint="eastAsia" w:ascii="Times New Roman" w:hAnsi="Times New Roman"/>
                      <w:bCs/>
                      <w:color w:val="auto"/>
                      <w:sz w:val="21"/>
                      <w:szCs w:val="21"/>
                      <w:lang w:val="en-US" w:eastAsia="zh-CN"/>
                    </w:rPr>
                    <w:t>烧网</w:t>
                  </w:r>
                  <w:r>
                    <w:rPr>
                      <w:rFonts w:ascii="Times New Roman" w:hAnsi="Times New Roman"/>
                      <w:bCs/>
                      <w:color w:val="auto"/>
                      <w:sz w:val="21"/>
                      <w:szCs w:val="21"/>
                    </w:rPr>
                    <w:t>等废气。</w:t>
                  </w:r>
                </w:p>
              </w:tc>
              <w:tc>
                <w:tcPr>
                  <w:tcW w:w="940" w:type="pct"/>
                  <w:noWrap w:val="0"/>
                  <w:vAlign w:val="center"/>
                </w:tcPr>
                <w:p>
                  <w:pPr>
                    <w:pStyle w:val="25"/>
                    <w:widowControl/>
                    <w:spacing w:before="0" w:beforeAutospacing="0" w:after="0" w:afterAutospacing="0" w:line="240" w:lineRule="auto"/>
                    <w:jc w:val="center"/>
                    <w:rPr>
                      <w:rFonts w:hint="eastAsia" w:ascii="Times New Roman" w:hAnsi="Times New Roman" w:eastAsia="宋体"/>
                      <w:bCs/>
                      <w:color w:val="auto"/>
                      <w:sz w:val="21"/>
                      <w:szCs w:val="21"/>
                      <w:lang w:eastAsia="zh-CN"/>
                    </w:rPr>
                  </w:pPr>
                  <w:r>
                    <w:rPr>
                      <w:rFonts w:hint="eastAsia"/>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58" w:type="pct"/>
                  <w:gridSpan w:val="2"/>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2545" w:type="pct"/>
                  <w:noWrap w:val="0"/>
                  <w:vAlign w:val="center"/>
                </w:tcPr>
                <w:p>
                  <w:pPr>
                    <w:pStyle w:val="25"/>
                    <w:widowControl/>
                    <w:spacing w:before="0" w:beforeAutospacing="0" w:after="0" w:afterAutospacing="0" w:line="240" w:lineRule="auto"/>
                    <w:jc w:val="center"/>
                    <w:rPr>
                      <w:rFonts w:hint="default" w:ascii="Times New Roman" w:hAnsi="Times New Roman"/>
                      <w:bCs/>
                      <w:color w:val="auto"/>
                      <w:sz w:val="21"/>
                      <w:szCs w:val="21"/>
                      <w:lang w:val="en-US" w:eastAsia="zh-CN"/>
                    </w:rPr>
                  </w:pPr>
                  <w:r>
                    <w:rPr>
                      <w:rFonts w:hint="eastAsia" w:ascii="Times New Roman" w:hAnsi="Times New Roman"/>
                      <w:bCs/>
                      <w:color w:val="auto"/>
                      <w:sz w:val="21"/>
                      <w:szCs w:val="21"/>
                      <w:lang w:val="en-US" w:eastAsia="zh-CN"/>
                    </w:rPr>
                    <w:t>污水处理站废气直接无组织排放</w:t>
                  </w:r>
                </w:p>
              </w:tc>
              <w:tc>
                <w:tcPr>
                  <w:tcW w:w="940" w:type="pct"/>
                  <w:noWrap w:val="0"/>
                  <w:vAlign w:val="center"/>
                </w:tcPr>
                <w:p>
                  <w:pPr>
                    <w:pStyle w:val="25"/>
                    <w:widowControl/>
                    <w:spacing w:before="0" w:beforeAutospacing="0" w:after="0" w:afterAutospacing="0" w:line="240" w:lineRule="auto"/>
                    <w:jc w:val="center"/>
                    <w:rPr>
                      <w:rFonts w:hint="eastAsia"/>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58" w:type="pct"/>
                  <w:gridSpan w:val="2"/>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噪声</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低噪声设备、合理布置噪声源、隔声减振措施。</w:t>
                  </w:r>
                </w:p>
              </w:tc>
              <w:tc>
                <w:tcPr>
                  <w:tcW w:w="940" w:type="pct"/>
                  <w:noWrap w:val="0"/>
                  <w:vAlign w:val="center"/>
                </w:tcPr>
                <w:p>
                  <w:pPr>
                    <w:pStyle w:val="25"/>
                    <w:widowControl/>
                    <w:spacing w:before="0" w:beforeAutospacing="0" w:after="0" w:afterAutospacing="0" w:line="240" w:lineRule="auto"/>
                    <w:jc w:val="center"/>
                    <w:rPr>
                      <w:rFonts w:hint="eastAsia" w:ascii="Times New Roman" w:hAnsi="Times New Roman" w:eastAsia="宋体"/>
                      <w:bCs/>
                      <w:color w:val="auto"/>
                      <w:sz w:val="21"/>
                      <w:szCs w:val="21"/>
                      <w:lang w:eastAsia="zh-CN"/>
                    </w:rPr>
                  </w:pPr>
                  <w:r>
                    <w:rPr>
                      <w:rFonts w:hint="eastAsia"/>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58" w:type="pct"/>
                  <w:gridSpan w:val="2"/>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废水</w:t>
                  </w:r>
                </w:p>
              </w:tc>
              <w:tc>
                <w:tcPr>
                  <w:tcW w:w="2545" w:type="pct"/>
                  <w:noWrap w:val="0"/>
                  <w:vAlign w:val="center"/>
                </w:tcPr>
                <w:p>
                  <w:pPr>
                    <w:pStyle w:val="25"/>
                    <w:widowControl/>
                    <w:spacing w:before="0" w:beforeAutospacing="0" w:after="0" w:afterAutospacing="0" w:line="240" w:lineRule="auto"/>
                    <w:jc w:val="center"/>
                    <w:rPr>
                      <w:rFonts w:hint="eastAsia" w:ascii="Times New Roman" w:hAnsi="Times New Roman"/>
                      <w:bCs/>
                      <w:color w:val="auto"/>
                      <w:sz w:val="21"/>
                      <w:szCs w:val="21"/>
                    </w:rPr>
                  </w:pPr>
                  <w:r>
                    <w:rPr>
                      <w:rFonts w:hint="eastAsia"/>
                      <w:bCs/>
                      <w:color w:val="auto"/>
                      <w:sz w:val="21"/>
                      <w:szCs w:val="21"/>
                    </w:rPr>
                    <w:t>冷却水循环使用不外排，生产废水经自建污水处理站处理后循环使用不外排；无新增生活污水。</w:t>
                  </w:r>
                </w:p>
              </w:tc>
              <w:tc>
                <w:tcPr>
                  <w:tcW w:w="940" w:type="pct"/>
                  <w:noWrap w:val="0"/>
                  <w:vAlign w:val="center"/>
                </w:tcPr>
                <w:p>
                  <w:pPr>
                    <w:pStyle w:val="25"/>
                    <w:widowControl/>
                    <w:spacing w:before="0" w:beforeAutospacing="0" w:after="0" w:afterAutospacing="0" w:line="240" w:lineRule="auto"/>
                    <w:jc w:val="center"/>
                    <w:rPr>
                      <w:rFonts w:hint="eastAsia" w:ascii="Times New Roman" w:hAnsi="Times New Roman"/>
                      <w:bCs/>
                      <w:color w:val="auto"/>
                      <w:sz w:val="21"/>
                      <w:szCs w:val="21"/>
                    </w:rPr>
                  </w:pPr>
                  <w:r>
                    <w:rPr>
                      <w:rFonts w:hint="eastAsia"/>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58" w:type="pct"/>
                  <w:gridSpan w:val="2"/>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固废</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hint="eastAsia"/>
                      <w:bCs/>
                      <w:color w:val="auto"/>
                      <w:sz w:val="21"/>
                      <w:szCs w:val="21"/>
                      <w:lang w:val="en-US" w:eastAsia="zh-CN"/>
                    </w:rPr>
                    <w:t>各类污泥交由环卫部门统一处理；</w:t>
                  </w:r>
                  <w:r>
                    <w:rPr>
                      <w:rFonts w:hint="eastAsia"/>
                      <w:bCs/>
                      <w:color w:val="auto"/>
                      <w:sz w:val="21"/>
                      <w:szCs w:val="21"/>
                    </w:rPr>
                    <w:t>废塑料清洗固废由环卫部门处理；废包装材料外售处理，次品丝返回造粒，</w:t>
                  </w:r>
                  <w:r>
                    <w:rPr>
                      <w:rFonts w:hint="eastAsia"/>
                      <w:bCs/>
                      <w:color w:val="auto"/>
                      <w:sz w:val="21"/>
                      <w:szCs w:val="21"/>
                      <w:lang w:val="en-US" w:eastAsia="zh-CN"/>
                    </w:rPr>
                    <w:t>废滤网烧网机处理后回用；</w:t>
                  </w:r>
                  <w:r>
                    <w:rPr>
                      <w:rFonts w:hint="eastAsia"/>
                      <w:bCs/>
                      <w:color w:val="auto"/>
                      <w:sz w:val="21"/>
                      <w:szCs w:val="21"/>
                    </w:rPr>
                    <w:t>除尘灰交环卫部门统一清运，废UV灯管厂家回收，废活性炭、浮油分类暂存于危废暂存间定期交资质单位处置。</w:t>
                  </w:r>
                </w:p>
              </w:tc>
              <w:tc>
                <w:tcPr>
                  <w:tcW w:w="940" w:type="pct"/>
                  <w:noWrap w:val="0"/>
                  <w:vAlign w:val="center"/>
                </w:tcPr>
                <w:p>
                  <w:pPr>
                    <w:pStyle w:val="25"/>
                    <w:widowControl/>
                    <w:spacing w:before="0" w:beforeAutospacing="0" w:after="0" w:afterAutospacing="0" w:line="240" w:lineRule="auto"/>
                    <w:jc w:val="center"/>
                    <w:rPr>
                      <w:rFonts w:hint="eastAsia" w:ascii="Times New Roman" w:hAnsi="Times New Roman" w:eastAsia="宋体"/>
                      <w:bCs/>
                      <w:color w:val="auto"/>
                      <w:sz w:val="21"/>
                      <w:szCs w:val="21"/>
                      <w:lang w:eastAsia="zh-CN"/>
                    </w:rPr>
                  </w:pPr>
                  <w:r>
                    <w:rPr>
                      <w:rFonts w:hint="eastAsia"/>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55" w:type="pct"/>
                  <w:vMerge w:val="restar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公用工程</w:t>
                  </w:r>
                </w:p>
              </w:tc>
              <w:tc>
                <w:tcPr>
                  <w:tcW w:w="1058" w:type="pct"/>
                  <w:gridSpan w:val="2"/>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供水</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园区供水管网</w:t>
                  </w:r>
                </w:p>
              </w:tc>
              <w:tc>
                <w:tcPr>
                  <w:tcW w:w="940"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55" w:type="pct"/>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58" w:type="pct"/>
                  <w:gridSpan w:val="2"/>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供电</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园区电网</w:t>
                  </w:r>
                </w:p>
              </w:tc>
              <w:tc>
                <w:tcPr>
                  <w:tcW w:w="940"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55" w:type="pct"/>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58" w:type="pct"/>
                  <w:gridSpan w:val="2"/>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供热</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塑料熔融</w:t>
                  </w:r>
                  <w:r>
                    <w:rPr>
                      <w:rFonts w:hint="eastAsia"/>
                      <w:bCs/>
                      <w:color w:val="auto"/>
                      <w:sz w:val="21"/>
                      <w:szCs w:val="21"/>
                    </w:rPr>
                    <w:t>、拉丝</w:t>
                  </w:r>
                  <w:r>
                    <w:rPr>
                      <w:rFonts w:ascii="Times New Roman" w:hAnsi="Times New Roman"/>
                      <w:bCs/>
                      <w:color w:val="auto"/>
                      <w:sz w:val="21"/>
                      <w:szCs w:val="21"/>
                    </w:rPr>
                    <w:t>工序</w:t>
                  </w:r>
                  <w:r>
                    <w:rPr>
                      <w:rFonts w:hint="eastAsia"/>
                      <w:bCs/>
                      <w:color w:val="auto"/>
                      <w:sz w:val="21"/>
                      <w:szCs w:val="21"/>
                    </w:rPr>
                    <w:t>均为</w:t>
                  </w:r>
                  <w:r>
                    <w:rPr>
                      <w:rFonts w:ascii="Times New Roman" w:hAnsi="Times New Roman"/>
                      <w:bCs/>
                      <w:color w:val="auto"/>
                      <w:sz w:val="21"/>
                      <w:szCs w:val="21"/>
                    </w:rPr>
                    <w:t>电加热</w:t>
                  </w:r>
                </w:p>
              </w:tc>
              <w:tc>
                <w:tcPr>
                  <w:tcW w:w="940"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55" w:type="pct"/>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58" w:type="pct"/>
                  <w:gridSpan w:val="2"/>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排水</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厂区排水为雨污分流制，雨水排入园区市政雨水管网。本项目不涉及新增废水排放量。</w:t>
                  </w:r>
                </w:p>
              </w:tc>
              <w:tc>
                <w:tcPr>
                  <w:tcW w:w="940"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0" w:type="pct"/>
                  <w:gridSpan w:val="2"/>
                  <w:vMerge w:val="restar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办公及生活设施</w:t>
                  </w:r>
                </w:p>
              </w:tc>
              <w:tc>
                <w:tcPr>
                  <w:tcW w:w="1043"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办公楼</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2F砖混结构，建筑面积546.28m</w:t>
                  </w:r>
                  <w:r>
                    <w:rPr>
                      <w:rFonts w:ascii="Times New Roman" w:hAnsi="Times New Roman"/>
                      <w:bCs/>
                      <w:color w:val="auto"/>
                      <w:sz w:val="21"/>
                      <w:szCs w:val="21"/>
                      <w:vertAlign w:val="superscript"/>
                    </w:rPr>
                    <w:t>2</w:t>
                  </w:r>
                </w:p>
              </w:tc>
              <w:tc>
                <w:tcPr>
                  <w:tcW w:w="940"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生活污水、生活垃圾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0" w:type="pct"/>
                  <w:gridSpan w:val="2"/>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43"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宿舍楼</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2F砖混结构，面积约555.52m</w:t>
                  </w:r>
                  <w:r>
                    <w:rPr>
                      <w:rFonts w:ascii="Times New Roman" w:hAnsi="Times New Roman"/>
                      <w:bCs/>
                      <w:color w:val="auto"/>
                      <w:sz w:val="21"/>
                      <w:szCs w:val="21"/>
                      <w:vertAlign w:val="superscript"/>
                    </w:rPr>
                    <w:t>2</w:t>
                  </w:r>
                  <w:r>
                    <w:rPr>
                      <w:rFonts w:ascii="Times New Roman" w:hAnsi="Times New Roman"/>
                      <w:bCs/>
                      <w:color w:val="auto"/>
                      <w:sz w:val="21"/>
                      <w:szCs w:val="21"/>
                    </w:rPr>
                    <w:t>，用于员工倒班休息。</w:t>
                  </w:r>
                </w:p>
              </w:tc>
              <w:tc>
                <w:tcPr>
                  <w:tcW w:w="940"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生活垃圾、生活污水</w:t>
                  </w:r>
                  <w:r>
                    <w:rPr>
                      <w:rFonts w:hint="eastAsia"/>
                      <w:bCs/>
                      <w:color w:val="auto"/>
                      <w:sz w:val="21"/>
                      <w:szCs w:val="21"/>
                    </w:rPr>
                    <w:t>、油烟、食堂废水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0" w:type="pct"/>
                  <w:gridSpan w:val="2"/>
                  <w:vMerge w:val="continue"/>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p>
              </w:tc>
              <w:tc>
                <w:tcPr>
                  <w:tcW w:w="1043"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门卫室</w:t>
                  </w:r>
                </w:p>
              </w:tc>
              <w:tc>
                <w:tcPr>
                  <w:tcW w:w="2545"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砖混结构，面积约17.82m</w:t>
                  </w:r>
                  <w:r>
                    <w:rPr>
                      <w:rFonts w:ascii="Times New Roman" w:hAnsi="Times New Roman"/>
                      <w:bCs/>
                      <w:color w:val="auto"/>
                      <w:sz w:val="21"/>
                      <w:szCs w:val="21"/>
                      <w:vertAlign w:val="superscript"/>
                    </w:rPr>
                    <w:t>2</w:t>
                  </w:r>
                  <w:r>
                    <w:rPr>
                      <w:rFonts w:ascii="Times New Roman" w:hAnsi="Times New Roman"/>
                      <w:bCs/>
                      <w:color w:val="auto"/>
                      <w:sz w:val="21"/>
                      <w:szCs w:val="21"/>
                    </w:rPr>
                    <w:t>，位于厂区门口。</w:t>
                  </w:r>
                </w:p>
              </w:tc>
              <w:tc>
                <w:tcPr>
                  <w:tcW w:w="940" w:type="pct"/>
                  <w:noWrap w:val="0"/>
                  <w:vAlign w:val="center"/>
                </w:tcPr>
                <w:p>
                  <w:pPr>
                    <w:pStyle w:val="25"/>
                    <w:widowControl/>
                    <w:spacing w:before="0" w:beforeAutospacing="0" w:after="0" w:afterAutospacing="0" w:line="240" w:lineRule="auto"/>
                    <w:jc w:val="center"/>
                    <w:rPr>
                      <w:rFonts w:ascii="Times New Roman" w:hAnsi="Times New Roman"/>
                      <w:bCs/>
                      <w:color w:val="auto"/>
                      <w:sz w:val="21"/>
                      <w:szCs w:val="21"/>
                    </w:rPr>
                  </w:pPr>
                  <w:r>
                    <w:rPr>
                      <w:rFonts w:ascii="Times New Roman" w:hAnsi="Times New Roman"/>
                      <w:bCs/>
                      <w:color w:val="auto"/>
                      <w:sz w:val="21"/>
                      <w:szCs w:val="21"/>
                    </w:rPr>
                    <w:t>生活垃圾</w:t>
                  </w:r>
                </w:p>
              </w:tc>
            </w:tr>
          </w:tbl>
          <w:p>
            <w:pPr>
              <w:ind w:firstLine="422" w:firstLineChars="200"/>
              <w:rPr>
                <w:rFonts w:ascii="Times New Roman" w:hAnsi="Times New Roman"/>
                <w:b/>
                <w:bCs/>
                <w:color w:val="auto"/>
                <w:szCs w:val="24"/>
              </w:rPr>
            </w:pPr>
            <w:r>
              <w:rPr>
                <w:rFonts w:hint="eastAsia" w:ascii="Times New Roman" w:hAnsi="Times New Roman"/>
                <w:b/>
                <w:bCs/>
                <w:color w:val="auto"/>
                <w:szCs w:val="24"/>
              </w:rPr>
              <w:t>2、</w:t>
            </w:r>
            <w:r>
              <w:rPr>
                <w:rFonts w:hint="eastAsia" w:ascii="Times New Roman" w:hAnsi="Times New Roman"/>
                <w:b/>
                <w:bCs/>
                <w:color w:val="auto"/>
                <w:szCs w:val="24"/>
                <w:lang w:eastAsia="zh-CN"/>
              </w:rPr>
              <w:t>原项目</w:t>
            </w:r>
            <w:r>
              <w:rPr>
                <w:rFonts w:hint="eastAsia" w:ascii="Times New Roman" w:hAnsi="Times New Roman"/>
                <w:b/>
                <w:bCs/>
                <w:color w:val="auto"/>
                <w:szCs w:val="24"/>
              </w:rPr>
              <w:t>主要生产设备</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2-8</w:t>
            </w:r>
            <w:r>
              <w:rPr>
                <w:rFonts w:ascii="Times New Roman" w:hAnsi="Times New Roman"/>
                <w:b/>
                <w:bCs/>
                <w:color w:val="auto"/>
                <w:sz w:val="21"/>
                <w:szCs w:val="21"/>
              </w:rPr>
              <w:t xml:space="preserve">  主要设备一览表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637"/>
              <w:gridCol w:w="2729"/>
              <w:gridCol w:w="18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序号</w:t>
                  </w:r>
                </w:p>
              </w:tc>
              <w:tc>
                <w:tcPr>
                  <w:tcW w:w="1571"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设备名称</w:t>
                  </w:r>
                </w:p>
              </w:tc>
              <w:tc>
                <w:tcPr>
                  <w:tcW w:w="1626"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规格型号</w:t>
                  </w:r>
                </w:p>
              </w:tc>
              <w:tc>
                <w:tcPr>
                  <w:tcW w:w="1095"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现有数量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0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w:t>
                  </w:r>
                </w:p>
              </w:tc>
              <w:tc>
                <w:tcPr>
                  <w:tcW w:w="1571"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上料机</w:t>
                  </w:r>
                </w:p>
              </w:tc>
              <w:tc>
                <w:tcPr>
                  <w:tcW w:w="162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w:t>
                  </w:r>
                </w:p>
              </w:tc>
              <w:tc>
                <w:tcPr>
                  <w:tcW w:w="1095"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w:t>
                  </w:r>
                </w:p>
              </w:tc>
              <w:tc>
                <w:tcPr>
                  <w:tcW w:w="1571"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传送带</w:t>
                  </w:r>
                </w:p>
              </w:tc>
              <w:tc>
                <w:tcPr>
                  <w:tcW w:w="162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w:t>
                  </w:r>
                  <w:r>
                    <w:rPr>
                      <w:rFonts w:ascii="Times New Roman" w:hAnsi="Times New Roman"/>
                      <w:color w:val="auto"/>
                      <w:sz w:val="21"/>
                      <w:szCs w:val="21"/>
                    </w:rPr>
                    <w:t>×10×6m</w:t>
                  </w:r>
                </w:p>
              </w:tc>
              <w:tc>
                <w:tcPr>
                  <w:tcW w:w="1095"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5</w:t>
                  </w:r>
                  <w:r>
                    <w:rPr>
                      <w:rFonts w:ascii="Times New Roman" w:hAnsi="Times New Roman"/>
                      <w:color w:val="auto"/>
                      <w:kern w:val="0"/>
                      <w:sz w:val="21"/>
                      <w:szCs w:val="21"/>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p>
              </w:tc>
              <w:tc>
                <w:tcPr>
                  <w:tcW w:w="157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喂料机</w:t>
                  </w:r>
                </w:p>
              </w:tc>
              <w:tc>
                <w:tcPr>
                  <w:tcW w:w="162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sz w:val="21"/>
                      <w:szCs w:val="21"/>
                    </w:rPr>
                    <w:t>100*5.5</w:t>
                  </w:r>
                </w:p>
              </w:tc>
              <w:tc>
                <w:tcPr>
                  <w:tcW w:w="1095"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4</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w:t>
                  </w:r>
                </w:p>
              </w:tc>
              <w:tc>
                <w:tcPr>
                  <w:tcW w:w="157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破碎机</w:t>
                  </w:r>
                </w:p>
              </w:tc>
              <w:tc>
                <w:tcPr>
                  <w:tcW w:w="162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1100</w:t>
                  </w:r>
                </w:p>
              </w:tc>
              <w:tc>
                <w:tcPr>
                  <w:tcW w:w="1095"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0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w:t>
                  </w:r>
                </w:p>
              </w:tc>
              <w:tc>
                <w:tcPr>
                  <w:tcW w:w="157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传送带2</w:t>
                  </w:r>
                </w:p>
              </w:tc>
              <w:tc>
                <w:tcPr>
                  <w:tcW w:w="162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2×30×6m</w:t>
                  </w:r>
                </w:p>
              </w:tc>
              <w:tc>
                <w:tcPr>
                  <w:tcW w:w="1095"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4</w:t>
                  </w:r>
                  <w:r>
                    <w:rPr>
                      <w:rFonts w:ascii="Times New Roman" w:hAnsi="Times New Roman"/>
                      <w:color w:val="auto"/>
                      <w:kern w:val="0"/>
                      <w:sz w:val="21"/>
                      <w:szCs w:val="21"/>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w:t>
                  </w:r>
                </w:p>
              </w:tc>
              <w:tc>
                <w:tcPr>
                  <w:tcW w:w="157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甩干机</w:t>
                  </w:r>
                </w:p>
              </w:tc>
              <w:tc>
                <w:tcPr>
                  <w:tcW w:w="162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80*2.6M</w:t>
                  </w:r>
                </w:p>
              </w:tc>
              <w:tc>
                <w:tcPr>
                  <w:tcW w:w="1095"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4</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7</w:t>
                  </w:r>
                </w:p>
              </w:tc>
              <w:tc>
                <w:tcPr>
                  <w:tcW w:w="157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造粒主机</w:t>
                  </w:r>
                </w:p>
              </w:tc>
              <w:tc>
                <w:tcPr>
                  <w:tcW w:w="162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450*4.2M</w:t>
                  </w:r>
                </w:p>
              </w:tc>
              <w:tc>
                <w:tcPr>
                  <w:tcW w:w="1095"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8</w:t>
                  </w:r>
                </w:p>
              </w:tc>
              <w:tc>
                <w:tcPr>
                  <w:tcW w:w="157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造粒中机</w:t>
                  </w:r>
                </w:p>
              </w:tc>
              <w:tc>
                <w:tcPr>
                  <w:tcW w:w="162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350*2M</w:t>
                  </w:r>
                </w:p>
              </w:tc>
              <w:tc>
                <w:tcPr>
                  <w:tcW w:w="1095"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9</w:t>
                  </w:r>
                </w:p>
              </w:tc>
              <w:tc>
                <w:tcPr>
                  <w:tcW w:w="157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造粒三机</w:t>
                  </w:r>
                </w:p>
              </w:tc>
              <w:tc>
                <w:tcPr>
                  <w:tcW w:w="162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250*2M</w:t>
                  </w:r>
                </w:p>
              </w:tc>
              <w:tc>
                <w:tcPr>
                  <w:tcW w:w="1095"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157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冷却水槽</w:t>
                  </w:r>
                </w:p>
              </w:tc>
              <w:tc>
                <w:tcPr>
                  <w:tcW w:w="162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80*6M</w:t>
                  </w:r>
                </w:p>
              </w:tc>
              <w:tc>
                <w:tcPr>
                  <w:tcW w:w="1095"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4</w:t>
                  </w:r>
                  <w:r>
                    <w:rPr>
                      <w:rFonts w:ascii="Times New Roman" w:hAnsi="Times New Roman"/>
                      <w:color w:val="auto"/>
                      <w:sz w:val="21"/>
                      <w:szCs w:val="21"/>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157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切粒机</w:t>
                  </w:r>
                </w:p>
              </w:tc>
              <w:tc>
                <w:tcPr>
                  <w:tcW w:w="162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kern w:val="0"/>
                      <w:sz w:val="21"/>
                      <w:szCs w:val="21"/>
                    </w:rPr>
                    <w:t>/</w:t>
                  </w:r>
                </w:p>
              </w:tc>
              <w:tc>
                <w:tcPr>
                  <w:tcW w:w="1095"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4</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157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颗粒料灌装机</w:t>
                  </w:r>
                </w:p>
              </w:tc>
              <w:tc>
                <w:tcPr>
                  <w:tcW w:w="162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2吨</w:t>
                  </w:r>
                </w:p>
              </w:tc>
              <w:tc>
                <w:tcPr>
                  <w:tcW w:w="1095"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157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烧网机</w:t>
                  </w:r>
                </w:p>
              </w:tc>
              <w:tc>
                <w:tcPr>
                  <w:tcW w:w="162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kern w:val="0"/>
                      <w:sz w:val="21"/>
                      <w:szCs w:val="21"/>
                    </w:rPr>
                    <w:t>/</w:t>
                  </w:r>
                </w:p>
              </w:tc>
              <w:tc>
                <w:tcPr>
                  <w:tcW w:w="1095"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14</w:t>
                  </w:r>
                </w:p>
              </w:tc>
              <w:tc>
                <w:tcPr>
                  <w:tcW w:w="1571"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拉丝机</w:t>
                  </w:r>
                </w:p>
              </w:tc>
              <w:tc>
                <w:tcPr>
                  <w:tcW w:w="1626" w:type="pct"/>
                  <w:noWrap w:val="0"/>
                  <w:vAlign w:val="center"/>
                </w:tcPr>
                <w:p>
                  <w:pPr>
                    <w:widowControl/>
                    <w:spacing w:line="240" w:lineRule="auto"/>
                    <w:jc w:val="center"/>
                    <w:rPr>
                      <w:rFonts w:ascii="Times New Roman" w:hAnsi="Times New Roman"/>
                      <w:color w:val="auto"/>
                      <w:kern w:val="0"/>
                      <w:sz w:val="21"/>
                      <w:szCs w:val="21"/>
                    </w:rPr>
                  </w:pPr>
                  <w:r>
                    <w:rPr>
                      <w:rFonts w:hint="eastAsia"/>
                      <w:color w:val="auto"/>
                      <w:kern w:val="0"/>
                      <w:sz w:val="21"/>
                      <w:szCs w:val="21"/>
                    </w:rPr>
                    <w:t>4.2/3/2.4</w:t>
                  </w:r>
                  <w:r>
                    <w:rPr>
                      <w:rFonts w:ascii="Times New Roman" w:hAnsi="Times New Roman"/>
                      <w:color w:val="auto"/>
                      <w:kern w:val="0"/>
                      <w:sz w:val="21"/>
                      <w:szCs w:val="21"/>
                    </w:rPr>
                    <w:t>×</w:t>
                  </w:r>
                  <w:r>
                    <w:rPr>
                      <w:rFonts w:hint="eastAsia"/>
                      <w:color w:val="auto"/>
                      <w:kern w:val="0"/>
                      <w:sz w:val="21"/>
                      <w:szCs w:val="21"/>
                    </w:rPr>
                    <w:t>0.8</w:t>
                  </w:r>
                  <w:r>
                    <w:rPr>
                      <w:rFonts w:ascii="Times New Roman" w:hAnsi="Times New Roman"/>
                      <w:color w:val="auto"/>
                      <w:kern w:val="0"/>
                      <w:sz w:val="21"/>
                      <w:szCs w:val="21"/>
                    </w:rPr>
                    <w:t>×</w:t>
                  </w:r>
                  <w:r>
                    <w:rPr>
                      <w:rFonts w:hint="eastAsia"/>
                      <w:color w:val="auto"/>
                      <w:kern w:val="0"/>
                      <w:sz w:val="21"/>
                      <w:szCs w:val="21"/>
                    </w:rPr>
                    <w:t>0.3</w:t>
                  </w:r>
                </w:p>
              </w:tc>
              <w:tc>
                <w:tcPr>
                  <w:tcW w:w="1095"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3台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15</w:t>
                  </w:r>
                </w:p>
              </w:tc>
              <w:tc>
                <w:tcPr>
                  <w:tcW w:w="1571"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冷却塔</w:t>
                  </w:r>
                </w:p>
              </w:tc>
              <w:tc>
                <w:tcPr>
                  <w:tcW w:w="1626" w:type="pct"/>
                  <w:noWrap w:val="0"/>
                  <w:vAlign w:val="center"/>
                </w:tcPr>
                <w:p>
                  <w:pPr>
                    <w:widowControl/>
                    <w:spacing w:line="240" w:lineRule="auto"/>
                    <w:jc w:val="center"/>
                    <w:rPr>
                      <w:rFonts w:ascii="Times New Roman" w:hAnsi="Times New Roman"/>
                      <w:color w:val="auto"/>
                      <w:kern w:val="0"/>
                      <w:sz w:val="21"/>
                      <w:szCs w:val="21"/>
                    </w:rPr>
                  </w:pPr>
                  <w:r>
                    <w:rPr>
                      <w:rFonts w:hint="eastAsia"/>
                      <w:color w:val="auto"/>
                      <w:kern w:val="0"/>
                      <w:sz w:val="21"/>
                      <w:szCs w:val="21"/>
                    </w:rPr>
                    <w:t>120m</w:t>
                  </w:r>
                  <w:r>
                    <w:rPr>
                      <w:rFonts w:hint="eastAsia"/>
                      <w:color w:val="auto"/>
                      <w:kern w:val="0"/>
                      <w:sz w:val="21"/>
                      <w:szCs w:val="21"/>
                      <w:vertAlign w:val="superscript"/>
                    </w:rPr>
                    <w:t>3</w:t>
                  </w:r>
                  <w:r>
                    <w:rPr>
                      <w:rFonts w:hint="eastAsia"/>
                      <w:color w:val="auto"/>
                      <w:kern w:val="0"/>
                      <w:sz w:val="21"/>
                      <w:szCs w:val="21"/>
                    </w:rPr>
                    <w:t>/h</w:t>
                  </w:r>
                </w:p>
              </w:tc>
              <w:tc>
                <w:tcPr>
                  <w:tcW w:w="1095" w:type="pct"/>
                  <w:noWrap w:val="0"/>
                  <w:vAlign w:val="center"/>
                </w:tcPr>
                <w:p>
                  <w:pPr>
                    <w:widowControl/>
                    <w:spacing w:line="240" w:lineRule="auto"/>
                    <w:jc w:val="center"/>
                    <w:rPr>
                      <w:rFonts w:ascii="Times New Roman" w:hAnsi="Times New Roman"/>
                      <w:color w:val="auto"/>
                      <w:kern w:val="0"/>
                      <w:sz w:val="21"/>
                      <w:szCs w:val="21"/>
                    </w:rPr>
                  </w:pPr>
                  <w:r>
                    <w:rPr>
                      <w:rFonts w:hint="eastAsia"/>
                      <w:color w:val="auto"/>
                      <w:kern w:val="0"/>
                      <w:sz w:val="21"/>
                      <w:szCs w:val="21"/>
                    </w:rPr>
                    <w:t>1</w:t>
                  </w:r>
                  <w:r>
                    <w:rPr>
                      <w:rFonts w:ascii="Times New Roman" w:hAnsi="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6"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16</w:t>
                  </w:r>
                </w:p>
              </w:tc>
              <w:tc>
                <w:tcPr>
                  <w:tcW w:w="1571"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造粒机</w:t>
                  </w:r>
                </w:p>
              </w:tc>
              <w:tc>
                <w:tcPr>
                  <w:tcW w:w="1626" w:type="pct"/>
                  <w:noWrap w:val="0"/>
                  <w:vAlign w:val="center"/>
                </w:tcPr>
                <w:p>
                  <w:pPr>
                    <w:widowControl/>
                    <w:spacing w:line="240" w:lineRule="auto"/>
                    <w:jc w:val="center"/>
                    <w:rPr>
                      <w:color w:val="auto"/>
                      <w:kern w:val="0"/>
                      <w:sz w:val="21"/>
                      <w:szCs w:val="21"/>
                    </w:rPr>
                  </w:pPr>
                  <w:r>
                    <w:rPr>
                      <w:rFonts w:hint="eastAsia"/>
                      <w:color w:val="auto"/>
                      <w:kern w:val="0"/>
                      <w:sz w:val="21"/>
                      <w:szCs w:val="21"/>
                    </w:rPr>
                    <w:t>SJSZ-45</w:t>
                  </w:r>
                </w:p>
              </w:tc>
              <w:tc>
                <w:tcPr>
                  <w:tcW w:w="1095" w:type="pct"/>
                  <w:noWrap w:val="0"/>
                  <w:vAlign w:val="center"/>
                </w:tcPr>
                <w:p>
                  <w:pPr>
                    <w:widowControl/>
                    <w:spacing w:line="240" w:lineRule="auto"/>
                    <w:jc w:val="center"/>
                    <w:rPr>
                      <w:rFonts w:hint="eastAsia"/>
                      <w:color w:val="auto"/>
                      <w:kern w:val="0"/>
                      <w:sz w:val="21"/>
                      <w:szCs w:val="21"/>
                    </w:rPr>
                  </w:pPr>
                  <w:r>
                    <w:rPr>
                      <w:rFonts w:hint="eastAsia"/>
                      <w:color w:val="auto"/>
                      <w:kern w:val="0"/>
                      <w:sz w:val="21"/>
                      <w:szCs w:val="21"/>
                    </w:rPr>
                    <w:t>1</w:t>
                  </w:r>
                  <w:r>
                    <w:rPr>
                      <w:rFonts w:ascii="Times New Roman" w:hAnsi="Times New Roman"/>
                      <w:color w:val="auto"/>
                      <w:kern w:val="0"/>
                      <w:sz w:val="21"/>
                      <w:szCs w:val="21"/>
                    </w:rPr>
                    <w:t>台</w:t>
                  </w:r>
                </w:p>
              </w:tc>
            </w:tr>
          </w:tbl>
          <w:p>
            <w:pPr>
              <w:adjustRightInd w:val="0"/>
              <w:snapToGrid w:val="0"/>
              <w:spacing w:line="360" w:lineRule="auto"/>
              <w:ind w:firstLine="422" w:firstLineChars="200"/>
              <w:rPr>
                <w:rFonts w:hint="eastAsia" w:ascii="Times New Roman" w:hAnsi="Times New Roman"/>
                <w:color w:val="auto"/>
                <w:sz w:val="21"/>
                <w:szCs w:val="21"/>
              </w:rPr>
            </w:pPr>
            <w:r>
              <w:rPr>
                <w:rFonts w:hint="eastAsia" w:ascii="Times New Roman" w:hAnsi="Times New Roman"/>
                <w:b/>
                <w:bCs/>
                <w:color w:val="auto"/>
                <w:sz w:val="21"/>
                <w:szCs w:val="21"/>
              </w:rPr>
              <w:t>3、</w:t>
            </w:r>
            <w:r>
              <w:rPr>
                <w:rFonts w:hint="eastAsia" w:ascii="Times New Roman" w:hAnsi="Times New Roman"/>
                <w:b/>
                <w:bCs/>
                <w:color w:val="auto"/>
                <w:sz w:val="21"/>
                <w:szCs w:val="21"/>
                <w:lang w:eastAsia="zh-CN"/>
              </w:rPr>
              <w:t>原项目</w:t>
            </w:r>
            <w:r>
              <w:rPr>
                <w:rFonts w:hint="eastAsia" w:ascii="Times New Roman" w:hAnsi="Times New Roman"/>
                <w:b/>
                <w:bCs/>
                <w:color w:val="auto"/>
                <w:sz w:val="21"/>
                <w:szCs w:val="21"/>
              </w:rPr>
              <w:t>原辅材料及能源消耗</w:t>
            </w:r>
          </w:p>
          <w:p>
            <w:pPr>
              <w:spacing w:line="360" w:lineRule="auto"/>
              <w:ind w:firstLine="420" w:firstLineChars="200"/>
              <w:rPr>
                <w:rFonts w:ascii="Times New Roman" w:hAnsi="Times New Roman"/>
                <w:color w:val="auto"/>
                <w:sz w:val="21"/>
                <w:szCs w:val="21"/>
              </w:rPr>
            </w:pPr>
            <w:r>
              <w:rPr>
                <w:rFonts w:hint="eastAsia" w:ascii="Times New Roman" w:hAnsi="Times New Roman"/>
                <w:color w:val="auto"/>
                <w:sz w:val="21"/>
                <w:szCs w:val="21"/>
              </w:rPr>
              <w:t>项目现状生产能力为1.5万吨/年的塑料颗粒、0.65万吨/年的塑料丝，</w:t>
            </w:r>
            <w:r>
              <w:rPr>
                <w:rFonts w:hint="eastAsia" w:ascii="Times New Roman" w:hAnsi="Times New Roman"/>
                <w:color w:val="auto"/>
                <w:sz w:val="21"/>
                <w:szCs w:val="21"/>
                <w:lang w:val="en-US" w:eastAsia="zh-CN"/>
              </w:rPr>
              <w:t>全部外售。</w:t>
            </w:r>
            <w:r>
              <w:rPr>
                <w:rFonts w:hint="eastAsia" w:ascii="Times New Roman" w:hAnsi="Times New Roman"/>
                <w:color w:val="auto"/>
                <w:sz w:val="21"/>
                <w:szCs w:val="21"/>
              </w:rPr>
              <w:t>所需原材料及能源消耗情况如下表。</w:t>
            </w:r>
          </w:p>
          <w:p>
            <w:pPr>
              <w:spacing w:line="240" w:lineRule="auto"/>
              <w:jc w:val="center"/>
              <w:rPr>
                <w:rFonts w:hint="eastAsia"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2-9</w:t>
            </w:r>
            <w:r>
              <w:rPr>
                <w:rFonts w:ascii="Times New Roman" w:hAnsi="Times New Roman"/>
                <w:b/>
                <w:bCs/>
                <w:color w:val="auto"/>
                <w:sz w:val="21"/>
                <w:szCs w:val="21"/>
              </w:rPr>
              <w:t xml:space="preserve">  </w:t>
            </w:r>
            <w:r>
              <w:rPr>
                <w:rFonts w:hint="eastAsia" w:ascii="Times New Roman" w:hAnsi="Times New Roman"/>
                <w:b/>
                <w:bCs/>
                <w:color w:val="auto"/>
                <w:sz w:val="21"/>
                <w:szCs w:val="21"/>
              </w:rPr>
              <w:t>主要原辅材料及能耗一览表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2356"/>
              <w:gridCol w:w="2142"/>
              <w:gridCol w:w="2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34"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项目</w:t>
                  </w:r>
                </w:p>
              </w:tc>
              <w:tc>
                <w:tcPr>
                  <w:tcW w:w="1404"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名称</w:t>
                  </w:r>
                </w:p>
              </w:tc>
              <w:tc>
                <w:tcPr>
                  <w:tcW w:w="1276"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hint="eastAsia"/>
                      <w:b/>
                      <w:bCs/>
                      <w:color w:val="auto"/>
                      <w:kern w:val="0"/>
                      <w:sz w:val="21"/>
                      <w:szCs w:val="21"/>
                    </w:rPr>
                    <w:t>现有工程</w:t>
                  </w:r>
                  <w:r>
                    <w:rPr>
                      <w:rFonts w:ascii="Times New Roman" w:hAnsi="Times New Roman"/>
                      <w:b/>
                      <w:bCs/>
                      <w:color w:val="auto"/>
                      <w:kern w:val="0"/>
                      <w:sz w:val="21"/>
                      <w:szCs w:val="21"/>
                    </w:rPr>
                    <w:t>年用量</w:t>
                  </w:r>
                </w:p>
              </w:tc>
              <w:tc>
                <w:tcPr>
                  <w:tcW w:w="1384" w:type="pct"/>
                  <w:shd w:val="clear" w:color="auto" w:fill="DCE6F2"/>
                  <w:noWrap w:val="0"/>
                  <w:vAlign w:val="center"/>
                </w:tcPr>
                <w:p>
                  <w:pPr>
                    <w:widowControl/>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934"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塑料</w:t>
                  </w:r>
                  <w:r>
                    <w:rPr>
                      <w:rFonts w:hint="eastAsia" w:ascii="Times New Roman" w:hAnsi="Times New Roman"/>
                      <w:color w:val="auto"/>
                      <w:kern w:val="0"/>
                      <w:sz w:val="21"/>
                      <w:szCs w:val="21"/>
                      <w:lang w:val="en-US" w:eastAsia="zh-CN"/>
                    </w:rPr>
                    <w:t>颗粒</w:t>
                  </w:r>
                  <w:r>
                    <w:rPr>
                      <w:rFonts w:hint="eastAsia" w:ascii="Times New Roman" w:hAnsi="Times New Roman"/>
                      <w:color w:val="auto"/>
                      <w:kern w:val="0"/>
                      <w:sz w:val="21"/>
                      <w:szCs w:val="21"/>
                    </w:rPr>
                    <w:t>加工</w:t>
                  </w:r>
                </w:p>
              </w:tc>
              <w:tc>
                <w:tcPr>
                  <w:tcW w:w="1404"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废</w:t>
                  </w:r>
                  <w:r>
                    <w:rPr>
                      <w:rFonts w:hint="eastAsia" w:ascii="Times New Roman" w:hAnsi="Times New Roman"/>
                      <w:color w:val="auto"/>
                      <w:kern w:val="0"/>
                      <w:sz w:val="21"/>
                      <w:szCs w:val="21"/>
                    </w:rPr>
                    <w:t>编织袋</w:t>
                  </w:r>
                  <w:r>
                    <w:rPr>
                      <w:rFonts w:hint="eastAsia" w:ascii="Times New Roman" w:hAnsi="Times New Roman"/>
                      <w:color w:val="auto"/>
                      <w:kern w:val="0"/>
                      <w:sz w:val="21"/>
                      <w:szCs w:val="21"/>
                      <w:vertAlign w:val="superscript"/>
                    </w:rPr>
                    <w:t>*</w:t>
                  </w:r>
                </w:p>
              </w:tc>
              <w:tc>
                <w:tcPr>
                  <w:tcW w:w="1276"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14800</w:t>
                  </w:r>
                  <w:r>
                    <w:rPr>
                      <w:rFonts w:ascii="Times New Roman" w:hAnsi="Times New Roman"/>
                      <w:color w:val="auto"/>
                      <w:kern w:val="0"/>
                      <w:sz w:val="21"/>
                      <w:szCs w:val="21"/>
                    </w:rPr>
                    <w:t>t</w:t>
                  </w:r>
                </w:p>
              </w:tc>
              <w:tc>
                <w:tcPr>
                  <w:tcW w:w="1384"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PP</w:t>
                  </w:r>
                  <w:r>
                    <w:rPr>
                      <w:rFonts w:hint="eastAsia"/>
                      <w:color w:val="auto"/>
                      <w:kern w:val="0"/>
                      <w:sz w:val="21"/>
                      <w:szCs w:val="21"/>
                    </w:rPr>
                    <w:t>，用量削减</w:t>
                  </w:r>
                  <w:r>
                    <w:rPr>
                      <w:rFonts w:hint="eastAsia"/>
                      <w:color w:val="auto"/>
                      <w:kern w:val="0"/>
                      <w:sz w:val="21"/>
                      <w:szCs w:val="21"/>
                      <w:lang w:eastAsia="zh-CN"/>
                    </w:rPr>
                    <w:t>，</w:t>
                  </w:r>
                  <w:r>
                    <w:rPr>
                      <w:rFonts w:hint="eastAsia" w:ascii="Times New Roman" w:hAnsi="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4" w:type="pct"/>
                  <w:vMerge w:val="restart"/>
                  <w:noWrap w:val="0"/>
                  <w:vAlign w:val="center"/>
                </w:tcPr>
                <w:p>
                  <w:pPr>
                    <w:widowControl/>
                    <w:spacing w:line="240" w:lineRule="auto"/>
                    <w:jc w:val="center"/>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塑料丝生产线</w:t>
                  </w:r>
                </w:p>
              </w:tc>
              <w:tc>
                <w:tcPr>
                  <w:tcW w:w="1404" w:type="pct"/>
                  <w:noWrap w:val="0"/>
                  <w:vAlign w:val="center"/>
                </w:tcPr>
                <w:p>
                  <w:pPr>
                    <w:widowControl/>
                    <w:spacing w:line="240" w:lineRule="auto"/>
                    <w:jc w:val="center"/>
                    <w:rPr>
                      <w:rFonts w:hint="eastAsia" w:ascii="Times New Roman" w:hAnsi="Times New Roman"/>
                      <w:color w:val="auto"/>
                      <w:kern w:val="0"/>
                      <w:sz w:val="21"/>
                      <w:szCs w:val="21"/>
                      <w:highlight w:val="none"/>
                      <w:lang w:val="en-US" w:eastAsia="zh-CN"/>
                    </w:rPr>
                  </w:pPr>
                  <w:r>
                    <w:rPr>
                      <w:rFonts w:ascii="Times New Roman" w:hAnsi="Times New Roman"/>
                      <w:color w:val="auto"/>
                      <w:kern w:val="0"/>
                      <w:sz w:val="21"/>
                      <w:szCs w:val="21"/>
                      <w:highlight w:val="none"/>
                    </w:rPr>
                    <w:t>废</w:t>
                  </w:r>
                  <w:r>
                    <w:rPr>
                      <w:rFonts w:hint="eastAsia" w:ascii="Times New Roman" w:hAnsi="Times New Roman"/>
                      <w:color w:val="auto"/>
                      <w:kern w:val="0"/>
                      <w:sz w:val="21"/>
                      <w:szCs w:val="21"/>
                      <w:highlight w:val="none"/>
                    </w:rPr>
                    <w:t>编织袋</w:t>
                  </w:r>
                  <w:r>
                    <w:rPr>
                      <w:rFonts w:hint="eastAsia" w:ascii="Times New Roman" w:hAnsi="Times New Roman"/>
                      <w:color w:val="auto"/>
                      <w:kern w:val="0"/>
                      <w:sz w:val="21"/>
                      <w:szCs w:val="21"/>
                      <w:highlight w:val="none"/>
                      <w:vertAlign w:val="superscript"/>
                    </w:rPr>
                    <w:t>*</w:t>
                  </w:r>
                </w:p>
              </w:tc>
              <w:tc>
                <w:tcPr>
                  <w:tcW w:w="1276" w:type="pct"/>
                  <w:noWrap w:val="0"/>
                  <w:vAlign w:val="center"/>
                </w:tcPr>
                <w:p>
                  <w:pPr>
                    <w:widowControl/>
                    <w:spacing w:line="240" w:lineRule="auto"/>
                    <w:jc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6</w:t>
                  </w:r>
                  <w:r>
                    <w:rPr>
                      <w:rFonts w:hint="eastAsia" w:ascii="Times New Roman" w:hAnsi="Times New Roman"/>
                      <w:color w:val="auto"/>
                      <w:kern w:val="0"/>
                      <w:sz w:val="21"/>
                      <w:szCs w:val="21"/>
                      <w:highlight w:val="none"/>
                    </w:rPr>
                    <w:t>50</w:t>
                  </w:r>
                  <w:r>
                    <w:rPr>
                      <w:rFonts w:hint="eastAsia" w:ascii="Times New Roman" w:hAnsi="Times New Roman"/>
                      <w:color w:val="auto"/>
                      <w:kern w:val="0"/>
                      <w:sz w:val="21"/>
                      <w:szCs w:val="21"/>
                      <w:highlight w:val="none"/>
                      <w:lang w:val="en-US" w:eastAsia="zh-CN"/>
                    </w:rPr>
                    <w:t>0</w:t>
                  </w:r>
                  <w:r>
                    <w:rPr>
                      <w:rFonts w:ascii="Times New Roman" w:hAnsi="Times New Roman"/>
                      <w:color w:val="auto"/>
                      <w:kern w:val="0"/>
                      <w:sz w:val="21"/>
                      <w:szCs w:val="21"/>
                      <w:highlight w:val="none"/>
                    </w:rPr>
                    <w:t>t</w:t>
                  </w:r>
                </w:p>
              </w:tc>
              <w:tc>
                <w:tcPr>
                  <w:tcW w:w="1384" w:type="pct"/>
                  <w:noWrap w:val="0"/>
                  <w:vAlign w:val="center"/>
                </w:tcPr>
                <w:p>
                  <w:pPr>
                    <w:widowControl/>
                    <w:spacing w:line="240" w:lineRule="auto"/>
                    <w:jc w:val="center"/>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PP</w:t>
                  </w:r>
                  <w:r>
                    <w:rPr>
                      <w:rFonts w:hint="eastAsia"/>
                      <w:color w:val="auto"/>
                      <w:kern w:val="0"/>
                      <w:sz w:val="21"/>
                      <w:szCs w:val="21"/>
                      <w:highlight w:val="none"/>
                    </w:rPr>
                    <w:t>，用量削减</w:t>
                  </w:r>
                  <w:r>
                    <w:rPr>
                      <w:rFonts w:hint="eastAsia"/>
                      <w:color w:val="auto"/>
                      <w:kern w:val="0"/>
                      <w:sz w:val="21"/>
                      <w:szCs w:val="21"/>
                      <w:highlight w:val="none"/>
                      <w:lang w:eastAsia="zh-CN"/>
                    </w:rPr>
                    <w:t>，</w:t>
                  </w:r>
                  <w:r>
                    <w:rPr>
                      <w:rFonts w:hint="eastAsia" w:ascii="Times New Roman" w:hAnsi="Times New Roman"/>
                      <w:color w:val="auto"/>
                      <w:kern w:val="0"/>
                      <w:sz w:val="21"/>
                      <w:szCs w:val="21"/>
                      <w:highlight w:val="no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4" w:type="pct"/>
                  <w:vMerge w:val="continue"/>
                  <w:noWrap w:val="0"/>
                  <w:vAlign w:val="center"/>
                </w:tcPr>
                <w:p>
                  <w:pPr>
                    <w:widowControl/>
                    <w:spacing w:line="240" w:lineRule="auto"/>
                    <w:jc w:val="center"/>
                    <w:rPr>
                      <w:rFonts w:hint="eastAsia" w:ascii="Times New Roman" w:hAnsi="Times New Roman"/>
                      <w:color w:val="auto"/>
                      <w:kern w:val="0"/>
                      <w:sz w:val="21"/>
                      <w:szCs w:val="21"/>
                      <w:lang w:val="en-US" w:eastAsia="zh-CN"/>
                    </w:rPr>
                  </w:pPr>
                </w:p>
              </w:tc>
              <w:tc>
                <w:tcPr>
                  <w:tcW w:w="1404" w:type="pct"/>
                  <w:noWrap w:val="0"/>
                  <w:vAlign w:val="center"/>
                </w:tcPr>
                <w:p>
                  <w:pPr>
                    <w:widowControl/>
                    <w:spacing w:line="240" w:lineRule="auto"/>
                    <w:jc w:val="center"/>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rPr>
                    <w:t>聚丙烯新料颗粒</w:t>
                  </w:r>
                </w:p>
              </w:tc>
              <w:tc>
                <w:tcPr>
                  <w:tcW w:w="1276" w:type="pct"/>
                  <w:noWrap w:val="0"/>
                  <w:vAlign w:val="center"/>
                </w:tcPr>
                <w:p>
                  <w:pPr>
                    <w:widowControl/>
                    <w:spacing w:line="240" w:lineRule="auto"/>
                    <w:jc w:val="center"/>
                    <w:rPr>
                      <w:rFonts w:hint="eastAsia" w:ascii="Times New Roman" w:hAnsi="Times New Roman"/>
                      <w:color w:val="auto"/>
                      <w:kern w:val="0"/>
                      <w:sz w:val="21"/>
                      <w:szCs w:val="21"/>
                      <w:lang w:val="en-US" w:eastAsia="zh-CN"/>
                    </w:rPr>
                  </w:pPr>
                  <w:r>
                    <w:rPr>
                      <w:rFonts w:hint="eastAsia"/>
                      <w:color w:val="auto"/>
                      <w:kern w:val="0"/>
                      <w:sz w:val="21"/>
                      <w:szCs w:val="21"/>
                    </w:rPr>
                    <w:t>390</w:t>
                  </w:r>
                  <w:r>
                    <w:rPr>
                      <w:rFonts w:hint="eastAsia" w:ascii="Times New Roman" w:hAnsi="Times New Roman"/>
                      <w:color w:val="auto"/>
                      <w:kern w:val="0"/>
                      <w:sz w:val="21"/>
                      <w:szCs w:val="21"/>
                    </w:rPr>
                    <w:t>t</w:t>
                  </w:r>
                </w:p>
              </w:tc>
              <w:tc>
                <w:tcPr>
                  <w:tcW w:w="1384"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4" w:type="pct"/>
                  <w:vMerge w:val="continue"/>
                  <w:noWrap w:val="0"/>
                  <w:vAlign w:val="center"/>
                </w:tcPr>
                <w:p>
                  <w:pPr>
                    <w:widowControl/>
                    <w:spacing w:line="240" w:lineRule="auto"/>
                    <w:jc w:val="center"/>
                    <w:rPr>
                      <w:rFonts w:hint="eastAsia" w:ascii="Times New Roman" w:hAnsi="Times New Roman"/>
                      <w:color w:val="auto"/>
                      <w:kern w:val="0"/>
                      <w:sz w:val="21"/>
                      <w:szCs w:val="21"/>
                      <w:lang w:val="en-US" w:eastAsia="zh-CN"/>
                    </w:rPr>
                  </w:pPr>
                </w:p>
              </w:tc>
              <w:tc>
                <w:tcPr>
                  <w:tcW w:w="1404" w:type="pct"/>
                  <w:noWrap w:val="0"/>
                  <w:vAlign w:val="center"/>
                </w:tcPr>
                <w:p>
                  <w:pPr>
                    <w:widowControl/>
                    <w:spacing w:line="240" w:lineRule="auto"/>
                    <w:jc w:val="center"/>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rPr>
                    <w:t>色母</w:t>
                  </w:r>
                </w:p>
              </w:tc>
              <w:tc>
                <w:tcPr>
                  <w:tcW w:w="1276" w:type="pct"/>
                  <w:noWrap w:val="0"/>
                  <w:vAlign w:val="center"/>
                </w:tcPr>
                <w:p>
                  <w:pPr>
                    <w:widowControl/>
                    <w:spacing w:line="240" w:lineRule="auto"/>
                    <w:jc w:val="center"/>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rPr>
                    <w:t>4t</w:t>
                  </w:r>
                </w:p>
              </w:tc>
              <w:tc>
                <w:tcPr>
                  <w:tcW w:w="1384"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934"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其他</w:t>
                  </w:r>
                  <w:r>
                    <w:rPr>
                      <w:color w:val="auto"/>
                      <w:sz w:val="21"/>
                      <w:szCs w:val="21"/>
                    </w:rPr>
                    <w:t>原辅材料</w:t>
                  </w:r>
                </w:p>
              </w:tc>
              <w:tc>
                <w:tcPr>
                  <w:tcW w:w="1404"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机油</w:t>
                  </w:r>
                </w:p>
              </w:tc>
              <w:tc>
                <w:tcPr>
                  <w:tcW w:w="1276"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1.5</w:t>
                  </w:r>
                  <w:r>
                    <w:rPr>
                      <w:rFonts w:ascii="Times New Roman" w:hAnsi="Times New Roman"/>
                      <w:color w:val="auto"/>
                      <w:kern w:val="0"/>
                      <w:sz w:val="21"/>
                      <w:szCs w:val="21"/>
                    </w:rPr>
                    <w:t>t</w:t>
                  </w:r>
                </w:p>
              </w:tc>
              <w:tc>
                <w:tcPr>
                  <w:tcW w:w="1384"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34" w:type="pct"/>
                  <w:vMerge w:val="restar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治理有机废气</w:t>
                  </w:r>
                </w:p>
              </w:tc>
              <w:tc>
                <w:tcPr>
                  <w:tcW w:w="1404"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UV灯管</w:t>
                  </w:r>
                </w:p>
              </w:tc>
              <w:tc>
                <w:tcPr>
                  <w:tcW w:w="1276"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80根</w:t>
                  </w:r>
                </w:p>
              </w:tc>
              <w:tc>
                <w:tcPr>
                  <w:tcW w:w="1384"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934" w:type="pct"/>
                  <w:vMerge w:val="continue"/>
                  <w:noWrap w:val="0"/>
                  <w:vAlign w:val="center"/>
                </w:tcPr>
                <w:p>
                  <w:pPr>
                    <w:widowControl/>
                    <w:spacing w:line="240" w:lineRule="auto"/>
                    <w:jc w:val="center"/>
                    <w:rPr>
                      <w:rFonts w:ascii="Times New Roman" w:hAnsi="Times New Roman"/>
                      <w:color w:val="auto"/>
                      <w:kern w:val="0"/>
                      <w:sz w:val="21"/>
                      <w:szCs w:val="21"/>
                    </w:rPr>
                  </w:pPr>
                </w:p>
              </w:tc>
              <w:tc>
                <w:tcPr>
                  <w:tcW w:w="1404"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活性炭</w:t>
                  </w:r>
                </w:p>
              </w:tc>
              <w:tc>
                <w:tcPr>
                  <w:tcW w:w="1276" w:type="pct"/>
                  <w:noWrap w:val="0"/>
                  <w:vAlign w:val="center"/>
                </w:tcPr>
                <w:p>
                  <w:pPr>
                    <w:widowControl/>
                    <w:spacing w:line="24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14.58</w:t>
                  </w:r>
                  <w:r>
                    <w:rPr>
                      <w:rFonts w:hint="eastAsia" w:ascii="Times New Roman" w:hAnsi="Times New Roman"/>
                      <w:color w:val="auto"/>
                      <w:kern w:val="0"/>
                      <w:sz w:val="21"/>
                      <w:szCs w:val="21"/>
                    </w:rPr>
                    <w:t>t</w:t>
                  </w:r>
                </w:p>
              </w:tc>
              <w:tc>
                <w:tcPr>
                  <w:tcW w:w="1384"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34" w:type="pct"/>
                  <w:vMerge w:val="restar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能耗</w:t>
                  </w:r>
                </w:p>
              </w:tc>
              <w:tc>
                <w:tcPr>
                  <w:tcW w:w="1404"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电</w:t>
                  </w:r>
                </w:p>
              </w:tc>
              <w:tc>
                <w:tcPr>
                  <w:tcW w:w="1276"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rPr>
                    <w:t>2</w:t>
                  </w:r>
                  <w:r>
                    <w:rPr>
                      <w:rFonts w:hint="eastAsia" w:ascii="Times New Roman" w:hAnsi="Times New Roman"/>
                      <w:color w:val="auto"/>
                      <w:kern w:val="0"/>
                      <w:sz w:val="21"/>
                      <w:szCs w:val="21"/>
                      <w:lang w:val="en-US" w:eastAsia="zh-CN"/>
                    </w:rPr>
                    <w:t>0</w:t>
                  </w:r>
                  <w:r>
                    <w:rPr>
                      <w:rFonts w:ascii="Times New Roman" w:hAnsi="Times New Roman"/>
                      <w:color w:val="auto"/>
                      <w:kern w:val="0"/>
                      <w:sz w:val="21"/>
                      <w:szCs w:val="21"/>
                    </w:rPr>
                    <w:t>万Kw·h</w:t>
                  </w:r>
                </w:p>
              </w:tc>
              <w:tc>
                <w:tcPr>
                  <w:tcW w:w="1384"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园区电网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934" w:type="pct"/>
                  <w:vMerge w:val="continue"/>
                  <w:noWrap w:val="0"/>
                  <w:vAlign w:val="center"/>
                </w:tcPr>
                <w:p>
                  <w:pPr>
                    <w:widowControl/>
                    <w:spacing w:line="240" w:lineRule="auto"/>
                    <w:jc w:val="center"/>
                    <w:rPr>
                      <w:rFonts w:ascii="Times New Roman" w:hAnsi="Times New Roman"/>
                      <w:color w:val="auto"/>
                      <w:kern w:val="0"/>
                      <w:sz w:val="21"/>
                      <w:szCs w:val="21"/>
                    </w:rPr>
                  </w:pPr>
                </w:p>
              </w:tc>
              <w:tc>
                <w:tcPr>
                  <w:tcW w:w="1404"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生产用</w:t>
                  </w:r>
                  <w:r>
                    <w:rPr>
                      <w:rFonts w:ascii="Times New Roman" w:hAnsi="Times New Roman"/>
                      <w:color w:val="auto"/>
                      <w:kern w:val="0"/>
                      <w:sz w:val="21"/>
                      <w:szCs w:val="21"/>
                    </w:rPr>
                    <w:t>水</w:t>
                  </w:r>
                </w:p>
              </w:tc>
              <w:tc>
                <w:tcPr>
                  <w:tcW w:w="1276" w:type="pct"/>
                  <w:noWrap w:val="0"/>
                  <w:vAlign w:val="center"/>
                </w:tcPr>
                <w:p>
                  <w:pPr>
                    <w:widowControl/>
                    <w:spacing w:line="240" w:lineRule="auto"/>
                    <w:jc w:val="center"/>
                    <w:rPr>
                      <w:rFonts w:ascii="Times New Roman" w:hAnsi="Times New Roman"/>
                      <w:color w:val="auto"/>
                      <w:kern w:val="0"/>
                      <w:sz w:val="21"/>
                      <w:szCs w:val="21"/>
                    </w:rPr>
                  </w:pPr>
                  <w:r>
                    <w:rPr>
                      <w:rFonts w:hint="eastAsia" w:ascii="Times New Roman" w:hAnsi="Times New Roman"/>
                      <w:color w:val="auto"/>
                      <w:kern w:val="0"/>
                      <w:sz w:val="21"/>
                      <w:szCs w:val="21"/>
                      <w:lang w:val="en-US" w:eastAsia="zh-CN"/>
                    </w:rPr>
                    <w:t>10950</w:t>
                  </w:r>
                  <w:r>
                    <w:rPr>
                      <w:rFonts w:ascii="Times New Roman" w:hAnsi="Times New Roman"/>
                      <w:color w:val="auto"/>
                      <w:kern w:val="0"/>
                      <w:sz w:val="21"/>
                      <w:szCs w:val="21"/>
                    </w:rPr>
                    <w:t>m</w:t>
                  </w:r>
                  <w:r>
                    <w:rPr>
                      <w:rFonts w:ascii="Times New Roman" w:hAnsi="Times New Roman"/>
                      <w:color w:val="auto"/>
                      <w:kern w:val="0"/>
                      <w:sz w:val="21"/>
                      <w:szCs w:val="21"/>
                      <w:vertAlign w:val="superscript"/>
                    </w:rPr>
                    <w:t>3</w:t>
                  </w:r>
                  <w:r>
                    <w:rPr>
                      <w:rFonts w:ascii="Times New Roman" w:hAnsi="Times New Roman"/>
                      <w:color w:val="auto"/>
                      <w:kern w:val="0"/>
                      <w:sz w:val="21"/>
                      <w:szCs w:val="21"/>
                    </w:rPr>
                    <w:t>/a</w:t>
                  </w:r>
                </w:p>
              </w:tc>
              <w:tc>
                <w:tcPr>
                  <w:tcW w:w="1384" w:type="pct"/>
                  <w:noWrap w:val="0"/>
                  <w:vAlign w:val="center"/>
                </w:tcPr>
                <w:p>
                  <w:pPr>
                    <w:widowControl/>
                    <w:spacing w:line="240" w:lineRule="auto"/>
                    <w:jc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4" w:type="pct"/>
                  <w:vMerge w:val="continue"/>
                  <w:noWrap w:val="0"/>
                  <w:vAlign w:val="center"/>
                </w:tcPr>
                <w:p>
                  <w:pPr>
                    <w:widowControl/>
                    <w:spacing w:line="240" w:lineRule="auto"/>
                    <w:jc w:val="center"/>
                    <w:rPr>
                      <w:rFonts w:ascii="Times New Roman" w:hAnsi="Times New Roman"/>
                      <w:color w:val="auto"/>
                      <w:kern w:val="0"/>
                      <w:sz w:val="21"/>
                      <w:szCs w:val="21"/>
                    </w:rPr>
                  </w:pPr>
                </w:p>
              </w:tc>
              <w:tc>
                <w:tcPr>
                  <w:tcW w:w="1404" w:type="pct"/>
                  <w:noWrap w:val="0"/>
                  <w:vAlign w:val="center"/>
                </w:tcPr>
                <w:p>
                  <w:pPr>
                    <w:widowControl/>
                    <w:spacing w:line="240" w:lineRule="auto"/>
                    <w:jc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val="en-US" w:eastAsia="zh-CN"/>
                    </w:rPr>
                    <w:t>生活用</w:t>
                  </w:r>
                  <w:r>
                    <w:rPr>
                      <w:rFonts w:hint="eastAsia" w:ascii="Times New Roman" w:hAnsi="Times New Roman"/>
                      <w:color w:val="auto"/>
                      <w:kern w:val="0"/>
                      <w:sz w:val="21"/>
                      <w:szCs w:val="21"/>
                      <w:lang w:eastAsia="zh-CN"/>
                    </w:rPr>
                    <w:t>水</w:t>
                  </w:r>
                </w:p>
              </w:tc>
              <w:tc>
                <w:tcPr>
                  <w:tcW w:w="1276" w:type="pct"/>
                  <w:noWrap w:val="0"/>
                  <w:vAlign w:val="center"/>
                </w:tcPr>
                <w:p>
                  <w:pPr>
                    <w:widowControl/>
                    <w:spacing w:line="240" w:lineRule="auto"/>
                    <w:jc w:val="center"/>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1800</w:t>
                  </w:r>
                  <w:r>
                    <w:rPr>
                      <w:rFonts w:ascii="Times New Roman" w:hAnsi="Times New Roman"/>
                      <w:color w:val="auto"/>
                      <w:kern w:val="0"/>
                      <w:sz w:val="21"/>
                      <w:szCs w:val="21"/>
                    </w:rPr>
                    <w:t>m</w:t>
                  </w:r>
                  <w:r>
                    <w:rPr>
                      <w:rFonts w:ascii="Times New Roman" w:hAnsi="Times New Roman"/>
                      <w:color w:val="auto"/>
                      <w:kern w:val="0"/>
                      <w:sz w:val="21"/>
                      <w:szCs w:val="21"/>
                      <w:vertAlign w:val="superscript"/>
                    </w:rPr>
                    <w:t>3</w:t>
                  </w:r>
                  <w:r>
                    <w:rPr>
                      <w:rFonts w:ascii="Times New Roman" w:hAnsi="Times New Roman"/>
                      <w:color w:val="auto"/>
                      <w:kern w:val="0"/>
                      <w:sz w:val="21"/>
                      <w:szCs w:val="21"/>
                    </w:rPr>
                    <w:t>/a</w:t>
                  </w:r>
                </w:p>
              </w:tc>
              <w:tc>
                <w:tcPr>
                  <w:tcW w:w="1384"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园区给水管网</w:t>
                  </w:r>
                </w:p>
              </w:tc>
            </w:tr>
          </w:tbl>
          <w:p>
            <w:pPr>
              <w:keepNext w:val="0"/>
              <w:keepLines w:val="0"/>
              <w:pageBreakBefore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b/>
                <w:bCs/>
                <w:color w:val="auto"/>
                <w:sz w:val="24"/>
                <w:szCs w:val="24"/>
                <w:lang w:val="en-US" w:eastAsia="zh-CN"/>
              </w:rPr>
            </w:pPr>
            <w:r>
              <w:rPr>
                <w:rFonts w:hint="eastAsia" w:ascii="Times New Roman" w:hAnsi="Times New Roman"/>
                <w:b/>
                <w:bCs/>
                <w:color w:val="auto"/>
                <w:sz w:val="24"/>
                <w:szCs w:val="24"/>
              </w:rPr>
              <w:t>4、</w:t>
            </w:r>
            <w:r>
              <w:rPr>
                <w:rFonts w:hint="eastAsia" w:ascii="Times New Roman" w:hAnsi="Times New Roman"/>
                <w:b/>
                <w:bCs/>
                <w:color w:val="auto"/>
                <w:sz w:val="24"/>
                <w:szCs w:val="24"/>
                <w:lang w:val="en-US" w:eastAsia="zh-CN"/>
              </w:rPr>
              <w:t>原项目水平衡</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宋体"/>
                <w:b/>
                <w:bCs w:val="0"/>
                <w:color w:val="auto"/>
                <w:sz w:val="24"/>
                <w:szCs w:val="24"/>
                <w:lang w:val="en-US" w:eastAsia="zh-CN"/>
              </w:rPr>
            </w:pPr>
            <w:r>
              <w:rPr>
                <w:rFonts w:hint="eastAsia" w:ascii="Times New Roman" w:hAnsi="Times New Roman"/>
                <w:b/>
                <w:bCs w:val="0"/>
                <w:color w:val="auto"/>
                <w:sz w:val="24"/>
                <w:szCs w:val="24"/>
                <w:lang w:eastAsia="zh-CN"/>
              </w:rPr>
              <w:t>（</w:t>
            </w:r>
            <w:r>
              <w:rPr>
                <w:rFonts w:hint="eastAsia" w:ascii="Times New Roman" w:hAnsi="Times New Roman"/>
                <w:b/>
                <w:bCs w:val="0"/>
                <w:color w:val="auto"/>
                <w:sz w:val="24"/>
                <w:szCs w:val="24"/>
                <w:lang w:val="en-US" w:eastAsia="zh-CN"/>
              </w:rPr>
              <w:t>1</w:t>
            </w:r>
            <w:r>
              <w:rPr>
                <w:rFonts w:hint="eastAsia" w:ascii="Times New Roman" w:hAnsi="Times New Roman"/>
                <w:b/>
                <w:bCs w:val="0"/>
                <w:color w:val="auto"/>
                <w:sz w:val="24"/>
                <w:szCs w:val="24"/>
                <w:lang w:eastAsia="zh-CN"/>
              </w:rPr>
              <w:t>）</w:t>
            </w:r>
            <w:r>
              <w:rPr>
                <w:rFonts w:hint="eastAsia" w:ascii="Times New Roman" w:hAnsi="Times New Roman"/>
                <w:b/>
                <w:bCs w:val="0"/>
                <w:color w:val="auto"/>
                <w:sz w:val="24"/>
                <w:szCs w:val="24"/>
                <w:lang w:val="en-US" w:eastAsia="zh-CN"/>
              </w:rPr>
              <w:t>生产用水</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auto"/>
                <w:sz w:val="24"/>
                <w:szCs w:val="24"/>
                <w:u w:val="single"/>
                <w:lang w:val="en-US"/>
              </w:rPr>
            </w:pPr>
            <w:r>
              <w:rPr>
                <w:rFonts w:ascii="Times New Roman" w:hAnsi="Times New Roman"/>
                <w:bCs/>
                <w:color w:val="auto"/>
                <w:sz w:val="24"/>
                <w:szCs w:val="24"/>
              </w:rPr>
              <w:t>根据</w:t>
            </w:r>
            <w:r>
              <w:rPr>
                <w:rFonts w:hint="eastAsia" w:ascii="Times New Roman" w:hAnsi="Times New Roman"/>
                <w:bCs/>
                <w:color w:val="auto"/>
                <w:sz w:val="24"/>
                <w:szCs w:val="24"/>
              </w:rPr>
              <w:t>《乐山图南再生资源回收利用有限公司新建年产3万吨塑料颗粒项目（一期</w:t>
            </w:r>
            <w:r>
              <w:rPr>
                <w:rFonts w:hint="eastAsia" w:ascii="Times New Roman" w:hAnsi="Times New Roman"/>
                <w:bCs/>
                <w:color w:val="auto"/>
                <w:sz w:val="24"/>
                <w:szCs w:val="24"/>
                <w:lang w:eastAsia="zh-CN"/>
              </w:rPr>
              <w:t>、</w:t>
            </w:r>
            <w:r>
              <w:rPr>
                <w:rFonts w:hint="eastAsia" w:ascii="Times New Roman" w:hAnsi="Times New Roman"/>
                <w:bCs/>
                <w:color w:val="auto"/>
                <w:sz w:val="24"/>
                <w:szCs w:val="24"/>
                <w:lang w:val="en-US" w:eastAsia="zh-CN"/>
              </w:rPr>
              <w:t>二期</w:t>
            </w:r>
            <w:r>
              <w:rPr>
                <w:rFonts w:hint="eastAsia" w:ascii="Times New Roman" w:hAnsi="Times New Roman"/>
                <w:bCs/>
                <w:color w:val="auto"/>
                <w:sz w:val="24"/>
                <w:szCs w:val="24"/>
              </w:rPr>
              <w:t>）竣工环境保护验收监测报告表》</w:t>
            </w:r>
            <w:r>
              <w:rPr>
                <w:rFonts w:hint="eastAsia" w:ascii="Times New Roman" w:hAnsi="Times New Roman"/>
                <w:bCs/>
                <w:color w:val="auto"/>
                <w:sz w:val="24"/>
                <w:szCs w:val="24"/>
                <w:lang w:val="en-US" w:eastAsia="zh-CN"/>
              </w:rPr>
              <w:t>可知</w:t>
            </w:r>
            <w:r>
              <w:rPr>
                <w:rFonts w:hint="eastAsia" w:ascii="Times New Roman" w:hAnsi="Times New Roman"/>
                <w:color w:val="auto"/>
                <w:sz w:val="24"/>
                <w:szCs w:val="24"/>
                <w:lang w:val="en-US" w:eastAsia="zh-CN"/>
              </w:rPr>
              <w:t>，3条</w:t>
            </w:r>
            <w:r>
              <w:rPr>
                <w:rFonts w:hint="eastAsia" w:ascii="Times New Roman" w:hAnsi="Times New Roman" w:eastAsia="宋体" w:cs="Times New Roman"/>
                <w:color w:val="auto"/>
                <w:sz w:val="24"/>
                <w:szCs w:val="24"/>
                <w:lang w:val="en-US" w:eastAsia="zh-CN"/>
              </w:rPr>
              <w:t>塑料颗粒生产线</w:t>
            </w:r>
            <w:r>
              <w:rPr>
                <w:rFonts w:hint="eastAsia" w:ascii="Times New Roman" w:hAnsi="Times New Roman"/>
                <w:color w:val="auto"/>
                <w:kern w:val="0"/>
                <w:sz w:val="24"/>
                <w:szCs w:val="24"/>
                <w:lang w:val="en-US" w:eastAsia="zh-CN" w:bidi="ar"/>
              </w:rPr>
              <w:t>用水量为</w:t>
            </w:r>
            <w:r>
              <w:rPr>
                <w:rFonts w:hint="eastAsia" w:ascii="Times New Roman" w:hAnsi="Times New Roman"/>
                <w:color w:val="auto"/>
                <w:kern w:val="0"/>
                <w:sz w:val="24"/>
                <w:szCs w:val="24"/>
              </w:rPr>
              <w:t>8500</w:t>
            </w:r>
            <w:r>
              <w:rPr>
                <w:rFonts w:hint="eastAsia" w:ascii="Times New Roman" w:hAnsi="Times New Roman"/>
                <w:color w:val="auto"/>
                <w:kern w:val="0"/>
                <w:sz w:val="24"/>
                <w:szCs w:val="24"/>
                <w:lang w:val="en-US" w:eastAsia="zh-CN" w:bidi="ar"/>
              </w:rPr>
              <w:t>t/a，包括喷淋用水2700t/a，</w:t>
            </w:r>
            <w:r>
              <w:rPr>
                <w:rFonts w:hint="eastAsia" w:ascii="Times New Roman" w:hAnsi="Times New Roman" w:eastAsia="宋体"/>
                <w:bCs/>
                <w:color w:val="auto"/>
                <w:sz w:val="24"/>
                <w:szCs w:val="24"/>
                <w:lang w:val="en-US" w:eastAsia="zh-CN"/>
              </w:rPr>
              <w:t>塑料条</w:t>
            </w:r>
            <w:r>
              <w:rPr>
                <w:rFonts w:hint="eastAsia" w:ascii="Times New Roman" w:hAnsi="Times New Roman"/>
                <w:color w:val="auto"/>
                <w:kern w:val="0"/>
                <w:sz w:val="24"/>
                <w:szCs w:val="24"/>
                <w:lang w:val="en-US" w:eastAsia="zh-CN" w:bidi="ar"/>
              </w:rPr>
              <w:t>冷却用水33t/a，清洗用水5767t/a。根据</w:t>
            </w:r>
            <w:r>
              <w:rPr>
                <w:rFonts w:hint="default" w:ascii="Times New Roman" w:hAnsi="Times New Roman" w:eastAsia="宋体" w:cs="Times New Roman"/>
                <w:b w:val="0"/>
                <w:bCs/>
                <w:color w:val="auto"/>
                <w:sz w:val="24"/>
                <w:szCs w:val="24"/>
                <w:u w:val="none"/>
                <w:lang w:val="en-US" w:eastAsia="zh-CN"/>
              </w:rPr>
              <w:t>《</w:t>
            </w:r>
            <w:r>
              <w:rPr>
                <w:rFonts w:hint="default" w:ascii="Times New Roman" w:hAnsi="Times New Roman" w:eastAsia="宋体" w:cs="Times New Roman"/>
                <w:b w:val="0"/>
                <w:bCs/>
                <w:color w:val="auto"/>
                <w:sz w:val="24"/>
                <w:szCs w:val="24"/>
                <w:u w:val="none"/>
              </w:rPr>
              <w:t>有限公司废旧塑料加工生产线技改项</w:t>
            </w:r>
            <w:r>
              <w:rPr>
                <w:rFonts w:hint="default" w:ascii="Times New Roman" w:hAnsi="Times New Roman" w:eastAsia="宋体" w:cs="Times New Roman"/>
                <w:b w:val="0"/>
                <w:bCs/>
                <w:color w:val="auto"/>
                <w:sz w:val="24"/>
                <w:szCs w:val="24"/>
                <w:u w:val="none"/>
                <w:lang w:val="en-US" w:eastAsia="zh-CN"/>
              </w:rPr>
              <w:t>环境影响评价</w:t>
            </w:r>
            <w:r>
              <w:rPr>
                <w:rFonts w:hint="default" w:ascii="Times New Roman" w:hAnsi="Times New Roman" w:eastAsia="宋体" w:cs="Times New Roman"/>
                <w:b w:val="0"/>
                <w:bCs/>
                <w:color w:val="auto"/>
                <w:sz w:val="24"/>
                <w:szCs w:val="24"/>
                <w:u w:val="none"/>
              </w:rPr>
              <w:t>报告</w:t>
            </w:r>
            <w:r>
              <w:rPr>
                <w:rFonts w:hint="default" w:ascii="Times New Roman" w:hAnsi="Times New Roman" w:eastAsia="宋体" w:cs="Times New Roman"/>
                <w:b w:val="0"/>
                <w:bCs/>
                <w:color w:val="auto"/>
                <w:sz w:val="24"/>
                <w:szCs w:val="24"/>
                <w:u w:val="none"/>
                <w:lang w:val="en-US" w:eastAsia="zh-CN"/>
              </w:rPr>
              <w:t>》中源强计算可知</w:t>
            </w:r>
            <w:r>
              <w:rPr>
                <w:rFonts w:hint="eastAsia" w:ascii="Times New Roman" w:hAnsi="Times New Roman" w:eastAsia="宋体" w:cs="Times New Roman"/>
                <w:b w:val="0"/>
                <w:bCs/>
                <w:color w:val="auto"/>
                <w:sz w:val="24"/>
                <w:szCs w:val="24"/>
                <w:u w:val="none"/>
                <w:lang w:val="en-US" w:eastAsia="zh-CN"/>
              </w:rPr>
              <w:t>，拉丝冷却水用水为1002t/a，原项目生产用水总量为10950t/a，则塑料丝生产线清洗用水量为1448t/a。</w:t>
            </w:r>
            <w:r>
              <w:rPr>
                <w:rFonts w:hint="eastAsia" w:ascii="Times New Roman" w:hAnsi="Times New Roman"/>
                <w:color w:val="auto"/>
                <w:sz w:val="24"/>
                <w:szCs w:val="24"/>
                <w:lang w:val="en-US" w:eastAsia="zh-CN"/>
              </w:rPr>
              <w:t>清洗及喷淋</w:t>
            </w:r>
            <w:r>
              <w:rPr>
                <w:rFonts w:ascii="Times New Roman" w:hAnsi="Times New Roman"/>
                <w:color w:val="auto"/>
                <w:sz w:val="24"/>
                <w:szCs w:val="24"/>
              </w:rPr>
              <w:t>废水</w:t>
            </w:r>
            <w:r>
              <w:rPr>
                <w:rFonts w:hint="eastAsia" w:ascii="Times New Roman" w:hAnsi="Times New Roman"/>
                <w:color w:val="auto"/>
                <w:sz w:val="24"/>
                <w:szCs w:val="24"/>
                <w:lang w:val="en-US" w:eastAsia="zh-CN"/>
              </w:rPr>
              <w:t>经</w:t>
            </w:r>
            <w:r>
              <w:rPr>
                <w:rFonts w:ascii="Times New Roman" w:hAnsi="Times New Roman"/>
                <w:color w:val="auto"/>
                <w:sz w:val="24"/>
                <w:szCs w:val="24"/>
              </w:rPr>
              <w:t>自建污水处理站处理后循环回用</w:t>
            </w:r>
            <w:r>
              <w:rPr>
                <w:rFonts w:hint="eastAsia" w:ascii="Times New Roman" w:hAnsi="Times New Roman"/>
                <w:color w:val="auto"/>
                <w:sz w:val="24"/>
                <w:szCs w:val="24"/>
                <w:lang w:eastAsia="zh-CN"/>
              </w:rPr>
              <w:t>；</w:t>
            </w:r>
            <w:r>
              <w:rPr>
                <w:rFonts w:hint="eastAsia" w:ascii="Times New Roman" w:hAnsi="Times New Roman" w:eastAsia="宋体" w:cs="Times New Roman"/>
                <w:b w:val="0"/>
                <w:bCs/>
                <w:color w:val="auto"/>
                <w:sz w:val="24"/>
                <w:szCs w:val="24"/>
                <w:u w:val="none"/>
                <w:lang w:val="en-US" w:eastAsia="zh-CN"/>
              </w:rPr>
              <w:t>拉丝冷却水和</w:t>
            </w:r>
            <w:r>
              <w:rPr>
                <w:rFonts w:hint="eastAsia" w:ascii="Times New Roman" w:hAnsi="Times New Roman" w:eastAsia="宋体"/>
                <w:bCs/>
                <w:color w:val="auto"/>
                <w:sz w:val="24"/>
                <w:szCs w:val="24"/>
                <w:lang w:val="en-US" w:eastAsia="zh-CN"/>
              </w:rPr>
              <w:t>塑料条</w:t>
            </w:r>
            <w:r>
              <w:rPr>
                <w:rFonts w:hint="eastAsia" w:ascii="Times New Roman" w:hAnsi="Times New Roman"/>
                <w:color w:val="auto"/>
                <w:kern w:val="0"/>
                <w:sz w:val="24"/>
                <w:szCs w:val="24"/>
                <w:lang w:val="en-US" w:eastAsia="zh-CN" w:bidi="ar"/>
              </w:rPr>
              <w:t>冷却水经沉淀后循环使用，不外排。</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leftChars="0" w:right="0" w:firstLine="474" w:firstLineChars="200"/>
              <w:textAlignment w:val="auto"/>
              <w:rPr>
                <w:rFonts w:hint="eastAsia" w:ascii="Times New Roman" w:hAnsi="Times New Roman" w:eastAsia="宋体"/>
                <w:b/>
                <w:color w:val="auto"/>
                <w:sz w:val="24"/>
                <w:szCs w:val="24"/>
                <w:lang w:eastAsia="zh-CN"/>
              </w:rPr>
            </w:pPr>
            <w:r>
              <w:rPr>
                <w:rFonts w:hint="eastAsia" w:ascii="Times New Roman" w:hAnsi="Times New Roman" w:eastAsia="宋体"/>
                <w:b/>
                <w:color w:val="auto"/>
                <w:sz w:val="24"/>
                <w:szCs w:val="24"/>
                <w:lang w:eastAsia="zh-CN"/>
              </w:rPr>
              <w:t>（</w:t>
            </w:r>
            <w:r>
              <w:rPr>
                <w:rFonts w:hint="eastAsia" w:ascii="Times New Roman" w:hAnsi="Times New Roman" w:eastAsia="宋体"/>
                <w:b/>
                <w:color w:val="auto"/>
                <w:sz w:val="24"/>
                <w:szCs w:val="24"/>
                <w:lang w:val="en-US" w:eastAsia="zh-CN"/>
              </w:rPr>
              <w:t>2</w:t>
            </w:r>
            <w:r>
              <w:rPr>
                <w:rFonts w:hint="eastAsia" w:ascii="Times New Roman" w:hAnsi="Times New Roman" w:eastAsia="宋体"/>
                <w:b/>
                <w:color w:val="auto"/>
                <w:sz w:val="24"/>
                <w:szCs w:val="24"/>
                <w:lang w:eastAsia="zh-CN"/>
              </w:rPr>
              <w:t>）</w:t>
            </w:r>
            <w:r>
              <w:rPr>
                <w:rFonts w:ascii="Times New Roman" w:hAnsi="Times New Roman" w:eastAsia="宋体"/>
                <w:b/>
                <w:color w:val="auto"/>
                <w:sz w:val="24"/>
                <w:szCs w:val="24"/>
              </w:rPr>
              <w:t>生活</w:t>
            </w:r>
            <w:r>
              <w:rPr>
                <w:rFonts w:hint="eastAsia" w:ascii="Times New Roman" w:hAnsi="Times New Roman" w:eastAsia="宋体"/>
                <w:b/>
                <w:color w:val="auto"/>
                <w:sz w:val="24"/>
                <w:szCs w:val="24"/>
                <w:lang w:val="en-US" w:eastAsia="zh-CN"/>
              </w:rPr>
              <w:t>用水</w:t>
            </w:r>
          </w:p>
          <w:p>
            <w:pPr>
              <w:pStyle w:val="29"/>
              <w:keepNext w:val="0"/>
              <w:keepLines w:val="0"/>
              <w:pageBreakBefore w:val="0"/>
              <w:kinsoku/>
              <w:wordWrap/>
              <w:overflowPunct/>
              <w:topLinePunct w:val="0"/>
              <w:autoSpaceDE/>
              <w:autoSpaceDN/>
              <w:bidi w:val="0"/>
              <w:spacing w:after="0" w:line="360" w:lineRule="auto"/>
              <w:ind w:left="0" w:leftChars="0"/>
              <w:textAlignment w:val="auto"/>
              <w:rPr>
                <w:rFonts w:hint="eastAsia"/>
                <w:color w:val="auto"/>
              </w:rPr>
            </w:pPr>
            <w:r>
              <w:rPr>
                <w:rFonts w:hint="eastAsia" w:ascii="Times New Roman" w:hAnsi="Times New Roman" w:cs="Times New Roman"/>
                <w:color w:val="auto"/>
                <w:sz w:val="24"/>
                <w:szCs w:val="24"/>
                <w:highlight w:val="none"/>
                <w:lang w:val="en-US" w:eastAsia="zh-CN"/>
              </w:rPr>
              <w:t>原项目生活用水量为6m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w:t>
            </w:r>
            <w:r>
              <w:rPr>
                <w:rFonts w:ascii="Times New Roman" w:hAnsi="Times New Roman" w:eastAsia="宋体"/>
                <w:bCs/>
                <w:color w:val="auto"/>
                <w:sz w:val="24"/>
                <w:szCs w:val="24"/>
                <w:highlight w:val="none"/>
              </w:rPr>
              <w:t>食</w:t>
            </w:r>
            <w:r>
              <w:rPr>
                <w:rFonts w:ascii="Times New Roman" w:hAnsi="Times New Roman" w:eastAsia="宋体"/>
                <w:bCs/>
                <w:color w:val="auto"/>
                <w:sz w:val="24"/>
                <w:szCs w:val="24"/>
              </w:rPr>
              <w:t>堂废水经3m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隔油池隔油处理后，与生活污水一同进入63m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预处理池，经预处理池处理后排入园区污水管网，</w:t>
            </w:r>
            <w:r>
              <w:rPr>
                <w:rFonts w:hint="eastAsia" w:ascii="Times New Roman" w:hAnsi="Times New Roman" w:eastAsia="宋体"/>
                <w:bCs/>
                <w:color w:val="auto"/>
                <w:sz w:val="24"/>
                <w:szCs w:val="24"/>
                <w:lang w:val="en-US" w:eastAsia="zh-CN"/>
              </w:rPr>
              <w:t>进入犍为县污水处理厂</w:t>
            </w:r>
            <w:r>
              <w:rPr>
                <w:rFonts w:ascii="Times New Roman" w:hAnsi="Times New Roman" w:eastAsia="宋体"/>
                <w:bCs/>
                <w:color w:val="auto"/>
                <w:sz w:val="24"/>
                <w:szCs w:val="24"/>
              </w:rPr>
              <w:t>。</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b/>
                <w:bCs/>
                <w:color w:val="auto"/>
                <w:sz w:val="24"/>
                <w:szCs w:val="24"/>
                <w:lang w:val="en-US" w:eastAsia="zh-CN"/>
              </w:rPr>
            </w:pPr>
            <w:r>
              <w:rPr>
                <w:rFonts w:ascii="Times New Roman" w:hAnsi="Times New Roman"/>
                <w:color w:val="auto"/>
                <w:sz w:val="21"/>
                <w:szCs w:val="21"/>
              </w:rPr>
              <w:object>
                <v:shape id="_x0000_i1027" o:spt="75" type="#_x0000_t75" style="height:262.85pt;width:420.85pt;" o:ole="t" filled="f" o:preferrelative="t" stroked="f" coordsize="21600,21600">
                  <v:path/>
                  <v:fill on="f" focussize="0,0"/>
                  <v:stroke on="f"/>
                  <v:imagedata r:id="rId22" o:title=""/>
                  <o:lock v:ext="edit" aspectratio="f"/>
                  <w10:wrap type="none"/>
                  <w10:anchorlock/>
                </v:shape>
                <o:OLEObject Type="Embed" ProgID="Visio.Drawing.11" ShapeID="_x0000_i1027" DrawAspect="Content" ObjectID="_1468075727" r:id="rId21">
                  <o:LockedField>false</o:LockedField>
                </o:OLEObject>
              </w:objec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图2-1  原项目水平衡图</w:t>
            </w:r>
          </w:p>
          <w:p>
            <w:pPr>
              <w:adjustRightInd w:val="0"/>
              <w:snapToGrid w:val="0"/>
              <w:ind w:firstLine="482" w:firstLineChars="200"/>
              <w:rPr>
                <w:rFonts w:ascii="Times New Roman" w:hAnsi="Times New Roman"/>
                <w:b/>
                <w:color w:val="auto"/>
                <w:sz w:val="24"/>
                <w:szCs w:val="24"/>
              </w:rPr>
            </w:pPr>
            <w:r>
              <w:rPr>
                <w:rFonts w:hint="eastAsia" w:ascii="Times New Roman" w:hAnsi="Times New Roman"/>
                <w:b/>
                <w:bCs/>
                <w:color w:val="auto"/>
                <w:sz w:val="24"/>
                <w:szCs w:val="24"/>
                <w:lang w:val="en-US" w:eastAsia="zh-CN"/>
              </w:rPr>
              <w:t>5、原项目</w:t>
            </w:r>
            <w:r>
              <w:rPr>
                <w:rFonts w:hint="eastAsia" w:ascii="Times New Roman" w:hAnsi="Times New Roman"/>
                <w:b/>
                <w:bCs/>
                <w:color w:val="auto"/>
                <w:sz w:val="24"/>
                <w:szCs w:val="24"/>
              </w:rPr>
              <w:t>污染源治理及排放现状</w:t>
            </w:r>
          </w:p>
          <w:p>
            <w:pPr>
              <w:adjustRightInd w:val="0"/>
              <w:snapToGrid w:val="0"/>
              <w:spacing w:line="240" w:lineRule="auto"/>
              <w:jc w:val="center"/>
              <w:rPr>
                <w:rFonts w:hint="eastAsia" w:ascii="Times New Roman" w:hAnsi="Times New Roman"/>
                <w:bCs/>
                <w:color w:val="auto"/>
                <w:sz w:val="21"/>
                <w:szCs w:val="21"/>
              </w:rPr>
            </w:pPr>
            <w:r>
              <w:rPr>
                <w:rFonts w:hint="eastAsia" w:ascii="Times New Roman" w:hAnsi="Times New Roman"/>
                <w:bCs/>
                <w:color w:val="auto"/>
                <w:sz w:val="21"/>
                <w:szCs w:val="21"/>
              </w:rPr>
              <w:object>
                <v:shape id="_x0000_i1028" o:spt="75" type="#_x0000_t75" style="height:492.05pt;width:387.75pt;" o:ole="t" filled="f" o:preferrelative="t" stroked="f" coordsize="21600,21600">
                  <v:path/>
                  <v:fill on="f" focussize="0,0"/>
                  <v:stroke on="f"/>
                  <v:imagedata r:id="rId24" o:title=""/>
                  <o:lock v:ext="edit" aspectratio="f"/>
                  <w10:wrap type="none"/>
                  <w10:anchorlock/>
                </v:shape>
                <o:OLEObject Type="Embed" ProgID="Visio.Drawing.11" ShapeID="_x0000_i1028" DrawAspect="Content" ObjectID="_1468075728" r:id="rId23">
                  <o:LockedField>false</o:LockedField>
                </o:OLEObject>
              </w:object>
            </w:r>
          </w:p>
          <w:p>
            <w:pPr>
              <w:adjustRightInd w:val="0"/>
              <w:snapToGrid w:val="0"/>
              <w:spacing w:line="240" w:lineRule="auto"/>
              <w:jc w:val="center"/>
              <w:rPr>
                <w:rFonts w:hint="eastAsia" w:ascii="Times New Roman" w:hAnsi="Times New Roman"/>
                <w:bCs/>
                <w:color w:val="auto"/>
                <w:szCs w:val="24"/>
              </w:rPr>
            </w:pPr>
            <w:r>
              <w:rPr>
                <w:rFonts w:ascii="Times New Roman" w:hAnsi="Times New Roman"/>
                <w:b/>
                <w:color w:val="auto"/>
                <w:sz w:val="21"/>
                <w:szCs w:val="21"/>
              </w:rPr>
              <w:t>图</w:t>
            </w:r>
            <w:r>
              <w:rPr>
                <w:rFonts w:hint="eastAsia" w:ascii="Times New Roman" w:hAnsi="Times New Roman"/>
                <w:b/>
                <w:color w:val="auto"/>
                <w:sz w:val="21"/>
                <w:szCs w:val="21"/>
                <w:lang w:val="en-US" w:eastAsia="zh-CN"/>
              </w:rPr>
              <w:t>2</w:t>
            </w:r>
            <w:r>
              <w:rPr>
                <w:rFonts w:ascii="Times New Roman" w:hAnsi="Times New Roman"/>
                <w:b/>
                <w:color w:val="auto"/>
                <w:sz w:val="21"/>
                <w:szCs w:val="21"/>
              </w:rPr>
              <w:t>-</w:t>
            </w:r>
            <w:r>
              <w:rPr>
                <w:rFonts w:hint="eastAsia" w:ascii="Times New Roman" w:hAnsi="Times New Roman"/>
                <w:b/>
                <w:color w:val="auto"/>
                <w:sz w:val="21"/>
                <w:szCs w:val="21"/>
                <w:lang w:val="en-US" w:eastAsia="zh-CN"/>
              </w:rPr>
              <w:t>4</w:t>
            </w:r>
            <w:r>
              <w:rPr>
                <w:rFonts w:ascii="Times New Roman" w:hAnsi="Times New Roman"/>
                <w:b/>
                <w:color w:val="auto"/>
                <w:sz w:val="21"/>
                <w:szCs w:val="21"/>
              </w:rPr>
              <w:t xml:space="preserve">  </w:t>
            </w:r>
            <w:r>
              <w:rPr>
                <w:rFonts w:hint="eastAsia" w:ascii="Times New Roman" w:hAnsi="Times New Roman"/>
                <w:b/>
                <w:color w:val="auto"/>
                <w:sz w:val="21"/>
                <w:szCs w:val="21"/>
                <w:lang w:val="en-US" w:eastAsia="zh-CN"/>
              </w:rPr>
              <w:t>原项目塑料丝</w:t>
            </w:r>
            <w:r>
              <w:rPr>
                <w:rFonts w:ascii="Times New Roman" w:hAnsi="Times New Roman"/>
                <w:b/>
                <w:color w:val="auto"/>
                <w:sz w:val="21"/>
                <w:szCs w:val="21"/>
              </w:rPr>
              <w:t>生产工艺流程图</w:t>
            </w:r>
            <w:r>
              <w:rPr>
                <w:rFonts w:hint="eastAsia" w:ascii="Times New Roman" w:hAnsi="Times New Roman"/>
                <w:bCs/>
                <w:color w:val="auto"/>
                <w:szCs w:val="24"/>
              </w:rPr>
              <w:object>
                <v:shape id="_x0000_i1029" o:spt="75" type="#_x0000_t75" style="height:358.5pt;width:378.75pt;" o:ole="t" filled="f" o:preferrelative="t" stroked="f" coordsize="21600,21600">
                  <v:path/>
                  <v:fill on="f" focussize="0,0"/>
                  <v:stroke on="f"/>
                  <v:imagedata r:id="rId26" o:title=""/>
                  <o:lock v:ext="edit" aspectratio="f"/>
                  <w10:wrap type="none"/>
                  <w10:anchorlock/>
                </v:shape>
                <o:OLEObject Type="Embed" ProgID="Visio.Drawing.11" ShapeID="_x0000_i1029" DrawAspect="Content" ObjectID="_1468075729" r:id="rId25">
                  <o:LockedField>false</o:LockedField>
                </o:OLEObject>
              </w:object>
            </w:r>
          </w:p>
          <w:p>
            <w:pPr>
              <w:adjustRightInd w:val="0"/>
              <w:snapToGrid w:val="0"/>
              <w:spacing w:line="360" w:lineRule="auto"/>
              <w:jc w:val="center"/>
              <w:rPr>
                <w:rFonts w:hint="eastAsia" w:ascii="Times New Roman" w:hAnsi="Times New Roman"/>
                <w:color w:val="auto"/>
              </w:rPr>
            </w:pPr>
            <w:r>
              <w:rPr>
                <w:rFonts w:ascii="Times New Roman" w:hAnsi="Times New Roman"/>
                <w:b/>
                <w:color w:val="auto"/>
                <w:sz w:val="21"/>
                <w:szCs w:val="21"/>
              </w:rPr>
              <w:t>图</w:t>
            </w:r>
            <w:r>
              <w:rPr>
                <w:rFonts w:hint="eastAsia" w:ascii="Times New Roman" w:hAnsi="Times New Roman"/>
                <w:b/>
                <w:color w:val="auto"/>
                <w:sz w:val="21"/>
                <w:szCs w:val="21"/>
                <w:lang w:val="en-US" w:eastAsia="zh-CN"/>
              </w:rPr>
              <w:t>2</w:t>
            </w:r>
            <w:r>
              <w:rPr>
                <w:rFonts w:ascii="Times New Roman" w:hAnsi="Times New Roman"/>
                <w:b/>
                <w:color w:val="auto"/>
                <w:sz w:val="21"/>
                <w:szCs w:val="21"/>
              </w:rPr>
              <w:t>-</w:t>
            </w:r>
            <w:r>
              <w:rPr>
                <w:rFonts w:hint="eastAsia" w:ascii="Times New Roman" w:hAnsi="Times New Roman"/>
                <w:b/>
                <w:color w:val="auto"/>
                <w:sz w:val="21"/>
                <w:szCs w:val="21"/>
                <w:lang w:val="en-US" w:eastAsia="zh-CN"/>
              </w:rPr>
              <w:t>5</w:t>
            </w:r>
            <w:r>
              <w:rPr>
                <w:rFonts w:ascii="Times New Roman" w:hAnsi="Times New Roman"/>
                <w:b/>
                <w:color w:val="auto"/>
                <w:sz w:val="21"/>
                <w:szCs w:val="21"/>
              </w:rPr>
              <w:t xml:space="preserve">  </w:t>
            </w:r>
            <w:r>
              <w:rPr>
                <w:rFonts w:hint="eastAsia" w:ascii="Times New Roman" w:hAnsi="Times New Roman"/>
                <w:b/>
                <w:color w:val="auto"/>
                <w:sz w:val="21"/>
                <w:szCs w:val="21"/>
                <w:lang w:val="en-US" w:eastAsia="zh-CN"/>
              </w:rPr>
              <w:t>原项目塑料颗粒</w:t>
            </w:r>
            <w:r>
              <w:rPr>
                <w:rFonts w:ascii="Times New Roman" w:hAnsi="Times New Roman"/>
                <w:b/>
                <w:color w:val="auto"/>
                <w:sz w:val="21"/>
                <w:szCs w:val="21"/>
              </w:rPr>
              <w:t>生产工艺流程图</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2" w:firstLineChars="200"/>
              <w:textAlignment w:val="auto"/>
              <w:rPr>
                <w:rFonts w:ascii="Times New Roman" w:hAnsi="Times New Roman"/>
                <w:b/>
                <w:bCs/>
                <w:color w:val="auto"/>
                <w:sz w:val="24"/>
                <w:szCs w:val="24"/>
              </w:rPr>
            </w:pPr>
            <w:r>
              <w:rPr>
                <w:rFonts w:hint="eastAsia" w:ascii="Times New Roman" w:hAnsi="Times New Roman"/>
                <w:b/>
                <w:bCs/>
                <w:color w:val="auto"/>
                <w:sz w:val="24"/>
                <w:szCs w:val="24"/>
                <w:lang w:eastAsia="zh-CN"/>
              </w:rPr>
              <w:t>（</w:t>
            </w:r>
            <w:r>
              <w:rPr>
                <w:rFonts w:hint="eastAsia" w:ascii="Times New Roman" w:hAnsi="Times New Roman"/>
                <w:b/>
                <w:bCs/>
                <w:color w:val="auto"/>
                <w:sz w:val="24"/>
                <w:szCs w:val="24"/>
                <w:lang w:val="en-US" w:eastAsia="zh-CN"/>
              </w:rPr>
              <w:t>1</w:t>
            </w:r>
            <w:r>
              <w:rPr>
                <w:rFonts w:hint="eastAsia" w:ascii="Times New Roman" w:hAnsi="Times New Roman"/>
                <w:b/>
                <w:bCs/>
                <w:color w:val="auto"/>
                <w:sz w:val="24"/>
                <w:szCs w:val="24"/>
                <w:lang w:eastAsia="zh-CN"/>
              </w:rPr>
              <w:t>）</w:t>
            </w:r>
            <w:r>
              <w:rPr>
                <w:rFonts w:hint="eastAsia" w:ascii="Times New Roman" w:hAnsi="Times New Roman"/>
                <w:b/>
                <w:bCs/>
                <w:color w:val="auto"/>
                <w:sz w:val="24"/>
                <w:szCs w:val="24"/>
              </w:rPr>
              <w:t>废气产生及治理</w:t>
            </w:r>
          </w:p>
          <w:p>
            <w:pPr>
              <w:pStyle w:val="2"/>
              <w:keepNext w:val="0"/>
              <w:keepLines w:val="0"/>
              <w:pageBreakBefore w:val="0"/>
              <w:widowControl w:val="0"/>
              <w:kinsoku/>
              <w:wordWrap/>
              <w:overflowPunct/>
              <w:topLinePunct w:val="0"/>
              <w:autoSpaceDE/>
              <w:autoSpaceDN/>
              <w:bidi w:val="0"/>
              <w:adjustRightInd/>
              <w:spacing w:before="0" w:after="0" w:afterAutospacing="0" w:line="360" w:lineRule="auto"/>
              <w:ind w:left="0" w:right="0" w:firstLine="472" w:firstLineChars="200"/>
              <w:textAlignment w:val="auto"/>
              <w:rPr>
                <w:rFonts w:ascii="Times New Roman" w:hAnsi="Times New Roman" w:eastAsia="宋体"/>
                <w:bCs/>
                <w:color w:val="auto"/>
                <w:sz w:val="24"/>
                <w:szCs w:val="24"/>
              </w:rPr>
            </w:pPr>
            <w:r>
              <w:rPr>
                <w:rFonts w:ascii="Times New Roman" w:hAnsi="Times New Roman" w:eastAsia="宋体"/>
                <w:bCs/>
                <w:color w:val="auto"/>
                <w:sz w:val="24"/>
                <w:szCs w:val="24"/>
              </w:rPr>
              <w:t>本项目运行中，废气主要为造粒废气、</w:t>
            </w:r>
            <w:r>
              <w:rPr>
                <w:rFonts w:hint="eastAsia" w:ascii="Times New Roman" w:hAnsi="Times New Roman" w:eastAsia="宋体"/>
                <w:bCs/>
                <w:color w:val="auto"/>
                <w:sz w:val="24"/>
                <w:szCs w:val="24"/>
              </w:rPr>
              <w:t>搅拌粉尘</w:t>
            </w:r>
            <w:r>
              <w:rPr>
                <w:rFonts w:hint="eastAsia" w:ascii="Times New Roman" w:hAnsi="Times New Roman" w:eastAsia="宋体"/>
                <w:bCs/>
                <w:color w:val="auto"/>
                <w:sz w:val="24"/>
                <w:szCs w:val="24"/>
                <w:lang w:eastAsia="zh-CN"/>
              </w:rPr>
              <w:t>、拉丝废气、烧网废气</w:t>
            </w:r>
            <w:r>
              <w:rPr>
                <w:rFonts w:ascii="Times New Roman" w:hAnsi="Times New Roman" w:eastAsia="宋体"/>
                <w:bCs/>
                <w:color w:val="auto"/>
                <w:sz w:val="24"/>
                <w:szCs w:val="24"/>
              </w:rPr>
              <w:t>和食堂油烟。</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①造粒废气</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在严格控制原料来源（不含有Cu、Fe等可作为催化剂的物质）和工艺温度的前提下，不会产生二噁英。故塑料热熔工废气中的主要污染物为非甲烷总烃，造粒废气采用厂房密闭+集气罩+塑料门帘进行负压收集，在造粒机处设置塑料门帘形成半封闭区，门帘内单独设置集气罩，废气直接抽吸进入排气管道，收集的废气经布袋除尘器+水膜+喷淋塔+过滤棉+UV 光解+低温等离子+二级活性炭吸附处理后通过 15 米高排气筒</w:t>
            </w:r>
            <w:r>
              <w:rPr>
                <w:rFonts w:hint="default" w:ascii="Times New Roman" w:hAnsi="Times New Roman" w:eastAsia="宋体" w:cs="Times New Roman"/>
                <w:b w:val="0"/>
                <w:bCs/>
                <w:color w:val="auto"/>
                <w:sz w:val="24"/>
                <w:szCs w:val="24"/>
                <w:lang w:eastAsia="zh-CN"/>
              </w:rPr>
              <w:t>（</w:t>
            </w:r>
            <w:r>
              <w:rPr>
                <w:rFonts w:hint="eastAsia" w:ascii="Times New Roman" w:hAnsi="Times New Roman" w:eastAsia="宋体" w:cs="Times New Roman"/>
                <w:b w:val="0"/>
                <w:bCs/>
                <w:color w:val="auto"/>
                <w:sz w:val="24"/>
                <w:szCs w:val="24"/>
                <w:lang w:val="en-US" w:eastAsia="zh-CN"/>
              </w:rPr>
              <w:t>DA001</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排放。</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②搅拌粉尘</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项目所用色母为颗粒状，在投入搅拌机及搅拌过程中产生粉尘，通过集气罩+布袋除尘器+水膜+喷淋塔+过滤棉+UV 光解+低温等离子+二级活性炭吸附处理后通过 15 米高排气筒</w:t>
            </w:r>
            <w:r>
              <w:rPr>
                <w:rFonts w:hint="default" w:ascii="Times New Roman" w:hAnsi="Times New Roman" w:eastAsia="宋体" w:cs="Times New Roman"/>
                <w:b w:val="0"/>
                <w:bCs/>
                <w:color w:val="auto"/>
                <w:sz w:val="24"/>
                <w:szCs w:val="24"/>
                <w:lang w:eastAsia="zh-CN"/>
              </w:rPr>
              <w:t>（</w:t>
            </w:r>
            <w:r>
              <w:rPr>
                <w:rFonts w:hint="eastAsia" w:ascii="Times New Roman" w:hAnsi="Times New Roman" w:eastAsia="宋体" w:cs="Times New Roman"/>
                <w:b w:val="0"/>
                <w:bCs/>
                <w:color w:val="auto"/>
                <w:sz w:val="24"/>
                <w:szCs w:val="24"/>
                <w:lang w:val="en-US" w:eastAsia="zh-CN"/>
              </w:rPr>
              <w:t>DA001</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排放。</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③拉丝废气</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在熔融和拉丝过程中产生的主要污染物为非甲烷总烃。项目拉丝过程除聚丙烯新料、部分少量添加色母外不添加任何助剂，因此，不存在由于新添加的有机助剂造成的污染物产生，拉丝机采用电加热方式，拉丝废气采用厂房密闭+集气罩+塑料门帘进行负压收集，在拉丝机处设置塑料门帘形成半封闭区，门帘内单独设置集气罩，废气直接抽吸进入排气管道，收集的废气经布袋除尘器+水膜+喷淋塔+过滤棉+UV 光解+低温等离子+二级活性炭吸附处理后通过 15 米高排气筒</w:t>
            </w:r>
            <w:r>
              <w:rPr>
                <w:rFonts w:hint="default" w:ascii="Times New Roman" w:hAnsi="Times New Roman" w:eastAsia="宋体" w:cs="Times New Roman"/>
                <w:b w:val="0"/>
                <w:bCs/>
                <w:color w:val="auto"/>
                <w:sz w:val="24"/>
                <w:szCs w:val="24"/>
                <w:lang w:eastAsia="zh-CN"/>
              </w:rPr>
              <w:t>（</w:t>
            </w:r>
            <w:r>
              <w:rPr>
                <w:rFonts w:hint="eastAsia" w:ascii="Times New Roman" w:hAnsi="Times New Roman" w:eastAsia="宋体" w:cs="Times New Roman"/>
                <w:b w:val="0"/>
                <w:bCs/>
                <w:color w:val="auto"/>
                <w:sz w:val="24"/>
                <w:szCs w:val="24"/>
                <w:lang w:val="en-US" w:eastAsia="zh-CN"/>
              </w:rPr>
              <w:t>DA001</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排放。</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④</w:t>
            </w:r>
            <w:r>
              <w:rPr>
                <w:rFonts w:hint="default" w:ascii="Times New Roman" w:hAnsi="Times New Roman" w:eastAsia="宋体" w:cs="Times New Roman"/>
                <w:b/>
                <w:color w:val="auto"/>
                <w:sz w:val="24"/>
                <w:szCs w:val="24"/>
                <w:lang w:eastAsia="zh-CN"/>
              </w:rPr>
              <w:t>烧网</w:t>
            </w:r>
            <w:r>
              <w:rPr>
                <w:rFonts w:hint="default" w:ascii="Times New Roman" w:hAnsi="Times New Roman" w:eastAsia="宋体" w:cs="Times New Roman"/>
                <w:b/>
                <w:color w:val="auto"/>
                <w:sz w:val="24"/>
                <w:szCs w:val="24"/>
              </w:rPr>
              <w:t>废气</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w:t>
            </w:r>
            <w:r>
              <w:rPr>
                <w:rFonts w:hint="default" w:ascii="Times New Roman" w:hAnsi="Times New Roman" w:eastAsia="宋体" w:cs="Times New Roman"/>
                <w:b w:val="0"/>
                <w:bCs/>
                <w:color w:val="auto"/>
                <w:sz w:val="24"/>
                <w:szCs w:val="24"/>
                <w:lang w:eastAsia="zh-CN"/>
              </w:rPr>
              <w:t>烧网废气</w:t>
            </w:r>
            <w:r>
              <w:rPr>
                <w:rFonts w:hint="default" w:ascii="Times New Roman" w:hAnsi="Times New Roman" w:eastAsia="宋体" w:cs="Times New Roman"/>
                <w:b w:val="0"/>
                <w:bCs/>
                <w:color w:val="auto"/>
                <w:sz w:val="24"/>
                <w:szCs w:val="24"/>
              </w:rPr>
              <w:t>采用集气罩收集，收集的</w:t>
            </w:r>
            <w:r>
              <w:rPr>
                <w:rFonts w:hint="default" w:ascii="Times New Roman" w:hAnsi="Times New Roman" w:eastAsia="宋体" w:cs="Times New Roman"/>
                <w:b w:val="0"/>
                <w:bCs/>
                <w:color w:val="auto"/>
                <w:sz w:val="24"/>
                <w:szCs w:val="24"/>
                <w:lang w:eastAsia="zh-CN"/>
              </w:rPr>
              <w:t>与</w:t>
            </w:r>
            <w:r>
              <w:rPr>
                <w:rFonts w:hint="default" w:ascii="Times New Roman" w:hAnsi="Times New Roman" w:eastAsia="宋体" w:cs="Times New Roman"/>
                <w:b w:val="0"/>
                <w:bCs/>
                <w:color w:val="auto"/>
                <w:sz w:val="24"/>
                <w:szCs w:val="24"/>
              </w:rPr>
              <w:t>造粒废气废气经布袋除尘器+水膜+喷淋塔+过滤棉+UV 光解+低温等离子+二级活性炭吸附处理后通过 15 米高排气筒</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DA001</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排放。</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⑤油烟废气</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default" w:ascii="Times New Roman" w:hAnsi="Times New Roman" w:cs="Times New Roman"/>
                <w:b w:val="0"/>
                <w:bCs/>
                <w:color w:val="auto"/>
                <w:sz w:val="24"/>
                <w:szCs w:val="24"/>
                <w:u w:val="none"/>
              </w:rPr>
            </w:pPr>
            <w:r>
              <w:rPr>
                <w:rFonts w:hint="default" w:ascii="Times New Roman" w:hAnsi="Times New Roman" w:cs="Times New Roman"/>
                <w:b w:val="0"/>
                <w:bCs/>
                <w:color w:val="auto"/>
                <w:sz w:val="24"/>
                <w:szCs w:val="24"/>
              </w:rPr>
              <w:t>本项目油烟废气经油烟净化器处理后排放</w:t>
            </w:r>
            <w:r>
              <w:rPr>
                <w:rFonts w:hint="default" w:ascii="Times New Roman" w:hAnsi="Times New Roman" w:cs="Times New Roman"/>
                <w:b w:val="0"/>
                <w:bCs/>
                <w:color w:val="auto"/>
                <w:sz w:val="24"/>
                <w:szCs w:val="24"/>
                <w:u w:val="none"/>
              </w:rPr>
              <w:t>。</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⑥污水处理站废气</w:t>
            </w:r>
          </w:p>
          <w:p>
            <w:pPr>
              <w:pStyle w:val="29"/>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企业污水处理站设有ABR厌氧池、二级接触氧化池等，易产生臭气。根据现场踏勘，企业对</w:t>
            </w:r>
            <w:r>
              <w:rPr>
                <w:rFonts w:hint="eastAsia" w:ascii="Times New Roman" w:hAnsi="Times New Roman" w:cs="Times New Roman"/>
                <w:color w:val="auto"/>
                <w:sz w:val="24"/>
                <w:szCs w:val="24"/>
                <w:lang w:val="en-US" w:eastAsia="zh-CN"/>
              </w:rPr>
              <w:t>该</w:t>
            </w:r>
            <w:r>
              <w:rPr>
                <w:rFonts w:hint="default" w:ascii="Times New Roman" w:hAnsi="Times New Roman" w:eastAsia="宋体" w:cs="Times New Roman"/>
                <w:color w:val="auto"/>
                <w:sz w:val="24"/>
                <w:szCs w:val="24"/>
                <w:lang w:val="en-US" w:eastAsia="zh-CN"/>
              </w:rPr>
              <w:t>部分废气采取</w:t>
            </w:r>
            <w:r>
              <w:rPr>
                <w:rFonts w:hint="eastAsia" w:ascii="Times New Roman" w:hAnsi="Times New Roman" w:cs="Times New Roman"/>
                <w:color w:val="auto"/>
                <w:sz w:val="24"/>
                <w:szCs w:val="24"/>
                <w:lang w:val="en-US" w:eastAsia="zh-CN"/>
              </w:rPr>
              <w:t>敞布遮挡</w:t>
            </w:r>
            <w:r>
              <w:rPr>
                <w:rFonts w:hint="default" w:ascii="Times New Roman" w:hAnsi="Times New Roman" w:eastAsia="宋体" w:cs="Times New Roman"/>
                <w:color w:val="auto"/>
                <w:sz w:val="24"/>
                <w:szCs w:val="24"/>
                <w:lang w:val="en-US" w:eastAsia="zh-CN"/>
              </w:rPr>
              <w:t>措施，密封效果不好，导致部分臭气外溢，对周围环境造成一定影响。</w:t>
            </w:r>
          </w:p>
          <w:p>
            <w:pPr>
              <w:pStyle w:val="29"/>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本次环评要求：采用钢板或水泥板对ABR厌氧池、二级接触氧化池等易产生臭气处理池进行密封，确保臭气不外溢。</w:t>
            </w:r>
          </w:p>
          <w:p>
            <w:pPr>
              <w:rPr>
                <w:rFonts w:hint="default"/>
                <w:color w:val="auto"/>
                <w:lang w:val="en-US" w:eastAsia="zh-CN"/>
              </w:rPr>
            </w:pPr>
          </w:p>
          <w:tbl>
            <w:tblPr>
              <w:tblStyle w:val="30"/>
              <w:tblW w:w="0" w:type="auto"/>
              <w:jc w:val="center"/>
              <w:tblLayout w:type="autofit"/>
              <w:tblCellMar>
                <w:top w:w="0" w:type="dxa"/>
                <w:left w:w="108" w:type="dxa"/>
                <w:bottom w:w="0" w:type="dxa"/>
                <w:right w:w="108" w:type="dxa"/>
              </w:tblCellMar>
            </w:tblPr>
            <w:tblGrid>
              <w:gridCol w:w="4236"/>
              <w:gridCol w:w="54"/>
              <w:gridCol w:w="4102"/>
            </w:tblGrid>
            <w:tr>
              <w:tblPrEx>
                <w:tblCellMar>
                  <w:top w:w="0" w:type="dxa"/>
                  <w:left w:w="108" w:type="dxa"/>
                  <w:bottom w:w="0" w:type="dxa"/>
                  <w:right w:w="108" w:type="dxa"/>
                </w:tblCellMar>
              </w:tblPrEx>
              <w:trPr>
                <w:jc w:val="center"/>
              </w:trPr>
              <w:tc>
                <w:tcPr>
                  <w:tcW w:w="4263" w:type="dxa"/>
                  <w:gridSpan w:val="2"/>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bCs/>
                      <w:color w:val="auto"/>
                      <w:sz w:val="21"/>
                      <w:szCs w:val="21"/>
                    </w:rPr>
                    <w:drawing>
                      <wp:inline distT="0" distB="0" distL="114300" distR="114300">
                        <wp:extent cx="2546985" cy="2484755"/>
                        <wp:effectExtent l="0" t="0" r="10795" b="5715"/>
                        <wp:docPr id="9" name="图片 96" descr="ba56caca5ef8fc45b51725b32cf1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6" descr="ba56caca5ef8fc45b51725b32cf16a9"/>
                                <pic:cNvPicPr>
                                  <a:picLocks noChangeAspect="1"/>
                                </pic:cNvPicPr>
                              </pic:nvPicPr>
                              <pic:blipFill>
                                <a:blip r:embed="rId27"/>
                                <a:stretch>
                                  <a:fillRect/>
                                </a:stretch>
                              </pic:blipFill>
                              <pic:spPr>
                                <a:xfrm rot="5400000">
                                  <a:off x="0" y="0"/>
                                  <a:ext cx="2546985" cy="2484755"/>
                                </a:xfrm>
                                <a:prstGeom prst="rect">
                                  <a:avLst/>
                                </a:prstGeom>
                                <a:noFill/>
                                <a:ln>
                                  <a:noFill/>
                                </a:ln>
                              </pic:spPr>
                            </pic:pic>
                          </a:graphicData>
                        </a:graphic>
                      </wp:inline>
                    </w:drawing>
                  </w:r>
                </w:p>
              </w:tc>
              <w:tc>
                <w:tcPr>
                  <w:tcW w:w="4128" w:type="dxa"/>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drawing>
                      <wp:inline distT="0" distB="0" distL="114300" distR="114300">
                        <wp:extent cx="2564765" cy="2411095"/>
                        <wp:effectExtent l="0" t="0" r="8255" b="6985"/>
                        <wp:docPr id="10" name="图片 71" descr="6beb62d402a77bcdaecf9cb8c4e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1" descr="6beb62d402a77bcdaecf9cb8c4e8737"/>
                                <pic:cNvPicPr>
                                  <a:picLocks noChangeAspect="1"/>
                                </pic:cNvPicPr>
                              </pic:nvPicPr>
                              <pic:blipFill>
                                <a:blip r:embed="rId28"/>
                                <a:stretch>
                                  <a:fillRect/>
                                </a:stretch>
                              </pic:blipFill>
                              <pic:spPr>
                                <a:xfrm rot="5400000">
                                  <a:off x="0" y="0"/>
                                  <a:ext cx="2564765" cy="241109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4263" w:type="dxa"/>
                  <w:gridSpan w:val="2"/>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
                      <w:color w:val="auto"/>
                      <w:sz w:val="21"/>
                      <w:szCs w:val="21"/>
                    </w:rPr>
                    <w:t>现有</w:t>
                  </w:r>
                  <w:r>
                    <w:rPr>
                      <w:rFonts w:hint="eastAsia" w:ascii="Times New Roman" w:hAnsi="Times New Roman" w:eastAsia="宋体"/>
                      <w:b/>
                      <w:color w:val="auto"/>
                      <w:sz w:val="21"/>
                      <w:szCs w:val="21"/>
                      <w:lang w:val="en-US" w:eastAsia="zh-CN"/>
                    </w:rPr>
                    <w:t>布袋除尘器</w:t>
                  </w:r>
                </w:p>
              </w:tc>
              <w:tc>
                <w:tcPr>
                  <w:tcW w:w="4128" w:type="dxa"/>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
                      <w:color w:val="auto"/>
                      <w:sz w:val="21"/>
                      <w:szCs w:val="21"/>
                    </w:rPr>
                    <w:t>现有水膜池箱</w:t>
                  </w:r>
                </w:p>
              </w:tc>
            </w:tr>
            <w:tr>
              <w:tblPrEx>
                <w:tblCellMar>
                  <w:top w:w="0" w:type="dxa"/>
                  <w:left w:w="108" w:type="dxa"/>
                  <w:bottom w:w="0" w:type="dxa"/>
                  <w:right w:w="108" w:type="dxa"/>
                </w:tblCellMar>
              </w:tblPrEx>
              <w:trPr>
                <w:jc w:val="center"/>
              </w:trPr>
              <w:tc>
                <w:tcPr>
                  <w:tcW w:w="4263" w:type="dxa"/>
                  <w:gridSpan w:val="2"/>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color w:val="auto"/>
                    </w:rPr>
                    <w:drawing>
                      <wp:inline distT="0" distB="0" distL="114300" distR="114300">
                        <wp:extent cx="2567940" cy="3116580"/>
                        <wp:effectExtent l="0" t="0" r="3810" b="7620"/>
                        <wp:docPr id="1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4"/>
                                <pic:cNvPicPr>
                                  <a:picLocks noChangeAspect="1"/>
                                </pic:cNvPicPr>
                              </pic:nvPicPr>
                              <pic:blipFill>
                                <a:blip r:embed="rId29"/>
                                <a:stretch>
                                  <a:fillRect/>
                                </a:stretch>
                              </pic:blipFill>
                              <pic:spPr>
                                <a:xfrm>
                                  <a:off x="0" y="0"/>
                                  <a:ext cx="2567940" cy="3116580"/>
                                </a:xfrm>
                                <a:prstGeom prst="rect">
                                  <a:avLst/>
                                </a:prstGeom>
                                <a:noFill/>
                                <a:ln>
                                  <a:noFill/>
                                </a:ln>
                              </pic:spPr>
                            </pic:pic>
                          </a:graphicData>
                        </a:graphic>
                      </wp:inline>
                    </w:drawing>
                  </w:r>
                </w:p>
              </w:tc>
              <w:tc>
                <w:tcPr>
                  <w:tcW w:w="4128" w:type="dxa"/>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drawing>
                      <wp:inline distT="0" distB="0" distL="114300" distR="114300">
                        <wp:extent cx="2438400" cy="1618615"/>
                        <wp:effectExtent l="0" t="0" r="0" b="635"/>
                        <wp:docPr id="12" name="图片 106" descr="b74c729d199113161437f555554c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6" descr="b74c729d199113161437f555554c2eb"/>
                                <pic:cNvPicPr>
                                  <a:picLocks noChangeAspect="1"/>
                                </pic:cNvPicPr>
                              </pic:nvPicPr>
                              <pic:blipFill>
                                <a:blip r:embed="rId30"/>
                                <a:stretch>
                                  <a:fillRect/>
                                </a:stretch>
                              </pic:blipFill>
                              <pic:spPr>
                                <a:xfrm>
                                  <a:off x="0" y="0"/>
                                  <a:ext cx="2438400" cy="1618615"/>
                                </a:xfrm>
                                <a:prstGeom prst="rect">
                                  <a:avLst/>
                                </a:prstGeom>
                                <a:noFill/>
                                <a:ln>
                                  <a:noFill/>
                                </a:ln>
                              </pic:spPr>
                            </pic:pic>
                          </a:graphicData>
                        </a:graphic>
                      </wp:inline>
                    </w:drawing>
                  </w:r>
                  <w:r>
                    <w:rPr>
                      <w:color w:val="auto"/>
                    </w:rPr>
                    <w:drawing>
                      <wp:inline distT="0" distB="0" distL="114300" distR="114300">
                        <wp:extent cx="2416175" cy="1513840"/>
                        <wp:effectExtent l="0" t="0" r="3175" b="10160"/>
                        <wp:docPr id="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3"/>
                                <pic:cNvPicPr>
                                  <a:picLocks noChangeAspect="1"/>
                                </pic:cNvPicPr>
                              </pic:nvPicPr>
                              <pic:blipFill>
                                <a:blip r:embed="rId31"/>
                                <a:stretch>
                                  <a:fillRect/>
                                </a:stretch>
                              </pic:blipFill>
                              <pic:spPr>
                                <a:xfrm>
                                  <a:off x="0" y="0"/>
                                  <a:ext cx="2416175" cy="151384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4263" w:type="dxa"/>
                  <w:gridSpan w:val="2"/>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
                      <w:color w:val="auto"/>
                      <w:sz w:val="21"/>
                      <w:szCs w:val="21"/>
                      <w:lang w:val="en-US" w:eastAsia="zh-CN"/>
                    </w:rPr>
                    <w:t>现有</w:t>
                  </w:r>
                  <w:r>
                    <w:rPr>
                      <w:rFonts w:ascii="Times New Roman" w:hAnsi="Times New Roman" w:eastAsia="宋体"/>
                      <w:b/>
                      <w:color w:val="auto"/>
                      <w:sz w:val="21"/>
                      <w:szCs w:val="21"/>
                    </w:rPr>
                    <w:t>喷淋塔</w:t>
                  </w:r>
                </w:p>
              </w:tc>
              <w:tc>
                <w:tcPr>
                  <w:tcW w:w="4128" w:type="dxa"/>
                  <w:noWrap w:val="0"/>
                  <w:vAlign w:val="center"/>
                </w:tcPr>
                <w:p>
                  <w:pPr>
                    <w:keepNext w:val="0"/>
                    <w:keepLines w:val="0"/>
                    <w:widowControl/>
                    <w:suppressLineNumbers w:val="0"/>
                    <w:jc w:val="left"/>
                    <w:rPr>
                      <w:rFonts w:hint="eastAsia" w:ascii="Times New Roman" w:hAnsi="Times New Roman" w:eastAsia="宋体"/>
                      <w:bCs/>
                      <w:color w:val="auto"/>
                      <w:sz w:val="21"/>
                      <w:szCs w:val="21"/>
                      <w:lang w:val="en-US" w:eastAsia="zh-CN"/>
                    </w:rPr>
                  </w:pPr>
                  <w:r>
                    <w:rPr>
                      <w:rFonts w:ascii="Times New Roman" w:hAnsi="Times New Roman" w:eastAsia="宋体"/>
                      <w:b/>
                      <w:color w:val="auto"/>
                      <w:sz w:val="21"/>
                      <w:szCs w:val="21"/>
                    </w:rPr>
                    <w:t>过滤棉+低温等离子+UV光解</w:t>
                  </w:r>
                  <w:r>
                    <w:rPr>
                      <w:rFonts w:hint="default" w:ascii="Times New Roman" w:hAnsi="Times New Roman" w:eastAsia="宋体" w:cs="Times New Roman"/>
                      <w:b/>
                      <w:bCs/>
                      <w:color w:val="auto"/>
                      <w:kern w:val="0"/>
                      <w:sz w:val="20"/>
                      <w:szCs w:val="20"/>
                      <w:lang w:val="en-US" w:eastAsia="zh-CN" w:bidi="ar"/>
                    </w:rPr>
                    <w:t>+</w:t>
                  </w:r>
                  <w:r>
                    <w:rPr>
                      <w:rFonts w:hint="eastAsia" w:ascii="宋体" w:hAnsi="宋体" w:eastAsia="宋体" w:cs="宋体"/>
                      <w:b/>
                      <w:bCs/>
                      <w:color w:val="auto"/>
                      <w:kern w:val="0"/>
                      <w:sz w:val="20"/>
                      <w:szCs w:val="20"/>
                      <w:lang w:val="en-US" w:eastAsia="zh-CN" w:bidi="ar"/>
                    </w:rPr>
                    <w:t>二级活性炭</w:t>
                  </w:r>
                </w:p>
              </w:tc>
            </w:tr>
            <w:tr>
              <w:tblPrEx>
                <w:tblCellMar>
                  <w:top w:w="0" w:type="dxa"/>
                  <w:left w:w="108" w:type="dxa"/>
                  <w:bottom w:w="0" w:type="dxa"/>
                  <w:right w:w="108" w:type="dxa"/>
                </w:tblCellMar>
              </w:tblPrEx>
              <w:trPr>
                <w:jc w:val="center"/>
              </w:trPr>
              <w:tc>
                <w:tcPr>
                  <w:tcW w:w="4195" w:type="dxa"/>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bCs/>
                      <w:color w:val="auto"/>
                      <w:sz w:val="21"/>
                      <w:szCs w:val="21"/>
                    </w:rPr>
                  </w:pPr>
                  <w:r>
                    <w:rPr>
                      <w:color w:val="auto"/>
                    </w:rPr>
                    <w:drawing>
                      <wp:inline distT="0" distB="0" distL="114300" distR="114300">
                        <wp:extent cx="2548890" cy="1781175"/>
                        <wp:effectExtent l="0" t="0" r="3810" b="9525"/>
                        <wp:docPr id="1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9"/>
                                <pic:cNvPicPr>
                                  <a:picLocks noChangeAspect="1"/>
                                </pic:cNvPicPr>
                              </pic:nvPicPr>
                              <pic:blipFill>
                                <a:blip r:embed="rId32"/>
                                <a:stretch>
                                  <a:fillRect/>
                                </a:stretch>
                              </pic:blipFill>
                              <pic:spPr>
                                <a:xfrm>
                                  <a:off x="0" y="0"/>
                                  <a:ext cx="2548890" cy="1781175"/>
                                </a:xfrm>
                                <a:prstGeom prst="rect">
                                  <a:avLst/>
                                </a:prstGeom>
                                <a:noFill/>
                                <a:ln>
                                  <a:noFill/>
                                </a:ln>
                              </pic:spPr>
                            </pic:pic>
                          </a:graphicData>
                        </a:graphic>
                      </wp:inline>
                    </w:drawing>
                  </w:r>
                </w:p>
              </w:tc>
              <w:tc>
                <w:tcPr>
                  <w:tcW w:w="41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color w:val="auto"/>
                    </w:rPr>
                  </w:pPr>
                  <w:r>
                    <w:rPr>
                      <w:color w:val="auto"/>
                    </w:rPr>
                    <w:drawing>
                      <wp:inline distT="0" distB="0" distL="114300" distR="114300">
                        <wp:extent cx="2418715" cy="1751330"/>
                        <wp:effectExtent l="0" t="0" r="635" b="1270"/>
                        <wp:docPr id="1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2"/>
                                <pic:cNvPicPr>
                                  <a:picLocks noChangeAspect="1"/>
                                </pic:cNvPicPr>
                              </pic:nvPicPr>
                              <pic:blipFill>
                                <a:blip r:embed="rId33"/>
                                <a:stretch>
                                  <a:fillRect/>
                                </a:stretch>
                              </pic:blipFill>
                              <pic:spPr>
                                <a:xfrm>
                                  <a:off x="0" y="0"/>
                                  <a:ext cx="2418715" cy="175133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4195" w:type="dxa"/>
                  <w:noWrap w:val="0"/>
                  <w:vAlign w:val="center"/>
                </w:tcPr>
                <w:p>
                  <w:pPr>
                    <w:pStyle w:val="2"/>
                    <w:adjustRightInd/>
                    <w:spacing w:before="0" w:line="240" w:lineRule="auto"/>
                    <w:ind w:left="0" w:right="0" w:firstLine="0"/>
                    <w:jc w:val="center"/>
                    <w:textAlignment w:val="auto"/>
                    <w:rPr>
                      <w:rFonts w:ascii="Times New Roman" w:hAnsi="Times New Roman"/>
                      <w:bCs/>
                      <w:color w:val="auto"/>
                      <w:sz w:val="21"/>
                      <w:szCs w:val="21"/>
                    </w:rPr>
                  </w:pPr>
                  <w:r>
                    <w:rPr>
                      <w:rFonts w:ascii="Times New Roman" w:hAnsi="Times New Roman" w:eastAsia="宋体"/>
                      <w:b/>
                      <w:color w:val="auto"/>
                      <w:sz w:val="21"/>
                      <w:szCs w:val="21"/>
                    </w:rPr>
                    <w:t>现有</w:t>
                  </w:r>
                  <w:r>
                    <w:rPr>
                      <w:rFonts w:hint="eastAsia" w:ascii="Times New Roman" w:hAnsi="Times New Roman" w:eastAsia="宋体"/>
                      <w:b/>
                      <w:color w:val="auto"/>
                      <w:sz w:val="21"/>
                      <w:szCs w:val="21"/>
                      <w:lang w:val="en-US" w:eastAsia="zh-CN"/>
                    </w:rPr>
                    <w:t>集气罩</w:t>
                  </w:r>
                </w:p>
              </w:tc>
              <w:tc>
                <w:tcPr>
                  <w:tcW w:w="4196" w:type="dxa"/>
                  <w:gridSpan w:val="2"/>
                  <w:noWrap w:val="0"/>
                  <w:vAlign w:val="center"/>
                </w:tcPr>
                <w:p>
                  <w:pPr>
                    <w:pStyle w:val="2"/>
                    <w:adjustRightInd/>
                    <w:spacing w:before="0" w:line="240" w:lineRule="auto"/>
                    <w:ind w:left="0" w:right="0" w:firstLine="0"/>
                    <w:jc w:val="center"/>
                    <w:textAlignment w:val="auto"/>
                    <w:rPr>
                      <w:rFonts w:ascii="Times New Roman" w:hAnsi="Times New Roman" w:eastAsia="宋体"/>
                      <w:b/>
                      <w:color w:val="auto"/>
                      <w:sz w:val="21"/>
                      <w:szCs w:val="21"/>
                    </w:rPr>
                  </w:pPr>
                  <w:r>
                    <w:rPr>
                      <w:rFonts w:hint="eastAsia" w:ascii="Times New Roman" w:hAnsi="Times New Roman" w:eastAsia="宋体"/>
                      <w:b/>
                      <w:color w:val="auto"/>
                      <w:sz w:val="21"/>
                      <w:szCs w:val="21"/>
                      <w:lang w:val="en-US" w:eastAsia="zh-CN"/>
                    </w:rPr>
                    <w:t>现有</w:t>
                  </w:r>
                  <w:r>
                    <w:rPr>
                      <w:rFonts w:ascii="Times New Roman" w:hAnsi="Times New Roman" w:eastAsia="宋体"/>
                      <w:b/>
                      <w:color w:val="auto"/>
                      <w:sz w:val="21"/>
                      <w:szCs w:val="21"/>
                    </w:rPr>
                    <w:t>排气筒</w:t>
                  </w:r>
                </w:p>
              </w:tc>
            </w:tr>
          </w:tbl>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textAlignment w:val="auto"/>
              <w:rPr>
                <w:rFonts w:ascii="Times New Roman" w:hAnsi="Times New Roman" w:eastAsia="宋体"/>
                <w:bCs/>
                <w:color w:val="auto"/>
                <w:sz w:val="24"/>
                <w:szCs w:val="24"/>
              </w:rPr>
            </w:pPr>
            <w:r>
              <w:rPr>
                <w:rFonts w:ascii="Times New Roman" w:hAnsi="Times New Roman" w:eastAsia="宋体"/>
                <w:bCs/>
                <w:color w:val="auto"/>
                <w:sz w:val="24"/>
                <w:szCs w:val="24"/>
              </w:rPr>
              <w:t>根据建设单位提供的《</w:t>
            </w:r>
            <w:r>
              <w:rPr>
                <w:rFonts w:hint="eastAsia" w:ascii="Times New Roman" w:hAnsi="Times New Roman" w:eastAsia="宋体"/>
                <w:bCs/>
                <w:color w:val="auto"/>
                <w:sz w:val="24"/>
                <w:szCs w:val="24"/>
              </w:rPr>
              <w:t>废旧塑料加工生产线技改项目</w:t>
            </w:r>
            <w:r>
              <w:rPr>
                <w:rFonts w:ascii="Times New Roman" w:hAnsi="Times New Roman" w:eastAsia="宋体"/>
                <w:bCs/>
                <w:color w:val="auto"/>
                <w:sz w:val="24"/>
                <w:szCs w:val="24"/>
              </w:rPr>
              <w:t>竣工环境保护验收监测》（</w:t>
            </w:r>
            <w:r>
              <w:rPr>
                <w:rFonts w:hint="eastAsia" w:ascii="Times New Roman" w:hAnsi="Times New Roman" w:eastAsia="宋体"/>
                <w:bCs/>
                <w:color w:val="auto"/>
                <w:sz w:val="24"/>
                <w:szCs w:val="24"/>
                <w:lang w:val="en-US" w:eastAsia="zh-CN"/>
              </w:rPr>
              <w:t>天衡HB</w:t>
            </w:r>
            <w:r>
              <w:rPr>
                <w:rFonts w:ascii="Times New Roman" w:hAnsi="Times New Roman" w:eastAsia="宋体"/>
                <w:bCs/>
                <w:color w:val="auto"/>
                <w:sz w:val="24"/>
                <w:szCs w:val="24"/>
              </w:rPr>
              <w:t>检字[20</w:t>
            </w:r>
            <w:r>
              <w:rPr>
                <w:rFonts w:hint="eastAsia" w:ascii="Times New Roman" w:hAnsi="Times New Roman" w:eastAsia="宋体"/>
                <w:bCs/>
                <w:color w:val="auto"/>
                <w:sz w:val="24"/>
                <w:szCs w:val="24"/>
                <w:lang w:val="en-US" w:eastAsia="zh-CN"/>
              </w:rPr>
              <w:t>21</w:t>
            </w:r>
            <w:r>
              <w:rPr>
                <w:rFonts w:ascii="Times New Roman" w:hAnsi="Times New Roman" w:eastAsia="宋体"/>
                <w:bCs/>
                <w:color w:val="auto"/>
                <w:sz w:val="24"/>
                <w:szCs w:val="24"/>
              </w:rPr>
              <w:t>]第</w:t>
            </w:r>
            <w:r>
              <w:rPr>
                <w:rFonts w:hint="eastAsia" w:ascii="Times New Roman" w:hAnsi="Times New Roman" w:eastAsia="宋体"/>
                <w:bCs/>
                <w:color w:val="auto"/>
                <w:sz w:val="24"/>
                <w:szCs w:val="24"/>
                <w:lang w:val="en-US" w:eastAsia="zh-CN"/>
              </w:rPr>
              <w:t>07218-1</w:t>
            </w:r>
            <w:r>
              <w:rPr>
                <w:rFonts w:ascii="Times New Roman" w:hAnsi="Times New Roman" w:eastAsia="宋体"/>
                <w:bCs/>
                <w:color w:val="auto"/>
                <w:sz w:val="24"/>
                <w:szCs w:val="24"/>
              </w:rPr>
              <w:t>号）</w:t>
            </w:r>
            <w:r>
              <w:rPr>
                <w:rFonts w:hint="eastAsia" w:ascii="Times New Roman" w:hAnsi="Times New Roman" w:eastAsia="宋体"/>
                <w:bCs/>
                <w:color w:val="auto"/>
                <w:sz w:val="24"/>
                <w:szCs w:val="24"/>
                <w:lang w:val="en-US" w:eastAsia="zh-CN"/>
              </w:rPr>
              <w:t>竣工环保验收</w:t>
            </w:r>
            <w:r>
              <w:rPr>
                <w:rFonts w:ascii="Times New Roman" w:hAnsi="Times New Roman" w:eastAsia="宋体"/>
                <w:bCs/>
                <w:color w:val="auto"/>
                <w:sz w:val="24"/>
                <w:szCs w:val="24"/>
              </w:rPr>
              <w:t>监测报告数据，监测数据如下：</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firstLineChars="0"/>
              <w:jc w:val="center"/>
              <w:textAlignment w:val="auto"/>
              <w:rPr>
                <w:rFonts w:ascii="Noto Sans CJK JP Medium"/>
                <w:b w:val="0"/>
                <w:color w:val="auto"/>
                <w:sz w:val="21"/>
                <w:szCs w:val="21"/>
              </w:rPr>
            </w:pPr>
            <w:r>
              <w:rPr>
                <w:rFonts w:ascii="Times New Roman" w:hAnsi="Times New Roman" w:eastAsia="宋体"/>
                <w:b/>
                <w:color w:val="auto"/>
                <w:sz w:val="21"/>
                <w:szCs w:val="21"/>
              </w:rPr>
              <w:t>表</w:t>
            </w:r>
            <w:r>
              <w:rPr>
                <w:rFonts w:hint="eastAsia" w:ascii="Times New Roman" w:hAnsi="Times New Roman" w:eastAsia="宋体"/>
                <w:b/>
                <w:color w:val="auto"/>
                <w:sz w:val="21"/>
                <w:szCs w:val="21"/>
                <w:lang w:val="en-US" w:eastAsia="zh-CN"/>
              </w:rPr>
              <w:t>2-10</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rPr>
              <w:t>造粒废气、搅拌粉尘、拉丝</w:t>
            </w:r>
            <w:r>
              <w:rPr>
                <w:rFonts w:ascii="Times New Roman" w:hAnsi="Times New Roman" w:eastAsia="宋体"/>
                <w:b/>
                <w:color w:val="auto"/>
                <w:sz w:val="21"/>
                <w:szCs w:val="21"/>
              </w:rPr>
              <w:t>废气监测结果表</w:t>
            </w:r>
          </w:p>
          <w:tbl>
            <w:tblPr>
              <w:tblStyle w:val="30"/>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10"/>
              <w:gridCol w:w="514"/>
              <w:gridCol w:w="629"/>
              <w:gridCol w:w="737"/>
              <w:gridCol w:w="913"/>
              <w:gridCol w:w="866"/>
              <w:gridCol w:w="883"/>
              <w:gridCol w:w="879"/>
              <w:gridCol w:w="893"/>
              <w:gridCol w:w="537"/>
              <w:gridCol w:w="62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42"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监测日期</w:t>
                  </w:r>
                </w:p>
              </w:tc>
              <w:tc>
                <w:tcPr>
                  <w:tcW w:w="306"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点位编号</w:t>
                  </w:r>
                </w:p>
              </w:tc>
              <w:tc>
                <w:tcPr>
                  <w:tcW w:w="375"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983" w:type="pct"/>
                  <w:gridSpan w:val="2"/>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516"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582" w:type="pct"/>
                  <w:gridSpan w:val="3"/>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w:t>
                  </w:r>
                </w:p>
              </w:tc>
              <w:tc>
                <w:tcPr>
                  <w:tcW w:w="320"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c>
                <w:tcPr>
                  <w:tcW w:w="372"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42"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983" w:type="pct"/>
                  <w:gridSpan w:val="2"/>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516"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526" w:type="pc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 1 次</w:t>
                  </w:r>
                </w:p>
              </w:tc>
              <w:tc>
                <w:tcPr>
                  <w:tcW w:w="524" w:type="pc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 2 次</w:t>
                  </w:r>
                </w:p>
              </w:tc>
              <w:tc>
                <w:tcPr>
                  <w:tcW w:w="531" w:type="pc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 3 次</w:t>
                  </w:r>
                </w:p>
              </w:tc>
              <w:tc>
                <w:tcPr>
                  <w:tcW w:w="3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42"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2021.7.22</w:t>
                  </w:r>
                </w:p>
              </w:tc>
              <w:tc>
                <w:tcPr>
                  <w:tcW w:w="306"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75"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p>
              </w:tc>
              <w:tc>
                <w:tcPr>
                  <w:tcW w:w="983" w:type="pct"/>
                  <w:gridSpan w:val="2"/>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烟气标干流量</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 xml:space="preserve"> </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8647</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8565</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8613</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实测浓度</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 xml:space="preserve"> </w:t>
                  </w:r>
                  <w:r>
                    <w:rPr>
                      <w:rFonts w:hint="eastAsia" w:ascii="Times New Roman" w:hAnsi="Times New Roman" w:eastAsia="宋体" w:cs="Times New Roman"/>
                      <w:color w:val="auto"/>
                      <w:sz w:val="21"/>
                      <w:szCs w:val="21"/>
                      <w:vertAlign w:val="superscript"/>
                      <w:lang w:val="en-US" w:eastAsia="zh-CN"/>
                    </w:rPr>
                    <w:t>3</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 xml:space="preserve"> </w:t>
                  </w:r>
                  <w:r>
                    <w:rPr>
                      <w:rFonts w:hint="eastAsia" w:ascii="Times New Roman" w:hAnsi="Times New Roman" w:eastAsia="宋体" w:cs="Times New Roman"/>
                      <w:color w:val="auto"/>
                      <w:sz w:val="21"/>
                      <w:szCs w:val="21"/>
                      <w:vertAlign w:val="superscript"/>
                      <w:lang w:val="en-US" w:eastAsia="zh-CN"/>
                    </w:rPr>
                    <w:t>3</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0.0943</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0.100</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0.0844</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实测浓度</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 xml:space="preserve"> </w:t>
                  </w:r>
                  <w:r>
                    <w:rPr>
                      <w:rFonts w:hint="eastAsia" w:ascii="Times New Roman" w:hAnsi="Times New Roman" w:eastAsia="宋体" w:cs="Times New Roman"/>
                      <w:color w:val="auto"/>
                      <w:sz w:val="21"/>
                      <w:szCs w:val="21"/>
                      <w:vertAlign w:val="superscript"/>
                      <w:lang w:val="en-US" w:eastAsia="zh-CN"/>
                    </w:rPr>
                    <w:t>3</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17.4</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17.4</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17.1</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17.4</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17.4</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17.1</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0.150</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0.149</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0.147</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42"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2021.7.23</w:t>
                  </w:r>
                </w:p>
              </w:tc>
              <w:tc>
                <w:tcPr>
                  <w:tcW w:w="306"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75"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p>
              </w:tc>
              <w:tc>
                <w:tcPr>
                  <w:tcW w:w="983" w:type="pct"/>
                  <w:gridSpan w:val="2"/>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烟气标干流量</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N·d·m </w:t>
                  </w:r>
                  <w:r>
                    <w:rPr>
                      <w:rFonts w:hint="default" w:ascii="Times New Roman" w:hAnsi="Times New Roman" w:eastAsia="宋体" w:cs="Times New Roman"/>
                      <w:color w:val="auto"/>
                      <w:position w:val="7"/>
                      <w:sz w:val="21"/>
                      <w:szCs w:val="21"/>
                    </w:rPr>
                    <w:t>3</w:t>
                  </w:r>
                  <w:r>
                    <w:rPr>
                      <w:rFonts w:hint="default" w:ascii="Times New Roman" w:hAnsi="Times New Roman" w:eastAsia="宋体" w:cs="Times New Roman"/>
                      <w:color w:val="auto"/>
                      <w:sz w:val="21"/>
                      <w:szCs w:val="21"/>
                    </w:rPr>
                    <w:t>/h</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8589</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8871</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8661</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实测浓度</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position w:val="7"/>
                      <w:sz w:val="21"/>
                      <w:szCs w:val="21"/>
                    </w:rPr>
                    <w:t>3</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11.8</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12.8</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position w:val="7"/>
                      <w:sz w:val="21"/>
                      <w:szCs w:val="21"/>
                    </w:rPr>
                    <w:t>3</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11.8</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12.8</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0.101</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0.0923</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0.111</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实测浓度</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position w:val="7"/>
                      <w:sz w:val="21"/>
                      <w:szCs w:val="21"/>
                    </w:rPr>
                    <w:t>3</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24.8</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23.6</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position w:val="7"/>
                      <w:sz w:val="21"/>
                      <w:szCs w:val="21"/>
                    </w:rPr>
                    <w:t>3</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39.2</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24.8</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23.6</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5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0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43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543"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tc>
              <w:tc>
                <w:tcPr>
                  <w:tcW w:w="51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526"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0.337</w:t>
                  </w:r>
                </w:p>
              </w:tc>
              <w:tc>
                <w:tcPr>
                  <w:tcW w:w="524"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0.220</w:t>
                  </w:r>
                </w:p>
              </w:tc>
              <w:tc>
                <w:tcPr>
                  <w:tcW w:w="531"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0.204</w:t>
                  </w:r>
                </w:p>
              </w:tc>
              <w:tc>
                <w:tcPr>
                  <w:tcW w:w="320"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372" w:type="pct"/>
                  <w:tcBorders>
                    <w:tl2br w:val="nil"/>
                    <w:tr2bl w:val="nil"/>
                  </w:tcBorders>
                  <w:noWrap w:val="0"/>
                  <w:vAlign w:val="center"/>
                </w:tcPr>
                <w:p>
                  <w:pPr>
                    <w:pStyle w:val="4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bCs w:val="0"/>
                <w:color w:val="auto"/>
                <w:sz w:val="21"/>
                <w:szCs w:val="21"/>
              </w:rPr>
              <w:t>表</w:t>
            </w:r>
            <w:r>
              <w:rPr>
                <w:rFonts w:hint="default" w:ascii="Times New Roman" w:hAnsi="Times New Roman" w:eastAsia="宋体" w:cs="Times New Roman"/>
                <w:b/>
                <w:bCs w:val="0"/>
                <w:color w:val="auto"/>
                <w:sz w:val="21"/>
                <w:szCs w:val="21"/>
                <w:lang w:val="en-US" w:eastAsia="zh-CN"/>
              </w:rPr>
              <w:t>2-11</w:t>
            </w:r>
            <w:r>
              <w:rPr>
                <w:rFonts w:hint="default" w:ascii="Times New Roman" w:hAnsi="Times New Roman" w:eastAsia="宋体" w:cs="Times New Roman"/>
                <w:b/>
                <w:bCs w:val="0"/>
                <w:color w:val="auto"/>
                <w:sz w:val="21"/>
                <w:szCs w:val="21"/>
              </w:rPr>
              <w:t xml:space="preserve">  油烟检测结果表</w:t>
            </w:r>
          </w:p>
          <w:tbl>
            <w:tblPr>
              <w:tblStyle w:val="30"/>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19"/>
              <w:gridCol w:w="591"/>
              <w:gridCol w:w="715"/>
              <w:gridCol w:w="824"/>
              <w:gridCol w:w="604"/>
              <w:gridCol w:w="606"/>
              <w:gridCol w:w="579"/>
              <w:gridCol w:w="606"/>
              <w:gridCol w:w="579"/>
              <w:gridCol w:w="598"/>
              <w:gridCol w:w="566"/>
              <w:gridCol w:w="549"/>
              <w:gridCol w:w="5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607"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监测日期</w:t>
                  </w:r>
                </w:p>
              </w:tc>
              <w:tc>
                <w:tcPr>
                  <w:tcW w:w="352"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点位编号</w:t>
                  </w:r>
                </w:p>
              </w:tc>
              <w:tc>
                <w:tcPr>
                  <w:tcW w:w="426"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w:t>
                  </w:r>
                </w:p>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位置</w:t>
                  </w:r>
                </w:p>
              </w:tc>
              <w:tc>
                <w:tcPr>
                  <w:tcW w:w="491"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w:t>
                  </w:r>
                </w:p>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360"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p>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768" w:type="pct"/>
                  <w:gridSpan w:val="5"/>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w:t>
                  </w:r>
                </w:p>
              </w:tc>
              <w:tc>
                <w:tcPr>
                  <w:tcW w:w="337"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测定均值</w:t>
                  </w:r>
                </w:p>
              </w:tc>
              <w:tc>
                <w:tcPr>
                  <w:tcW w:w="327"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c>
                <w:tcPr>
                  <w:tcW w:w="328" w:type="pct"/>
                  <w:vMerge w:val="restar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07" w:type="pct"/>
                  <w:vMerge w:val="continue"/>
                  <w:tcBorders>
                    <w:tl2br w:val="nil"/>
                    <w:tr2bl w:val="nil"/>
                  </w:tcBorders>
                  <w:shd w:val="clear" w:color="auto" w:fill="DCE6F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352" w:type="pct"/>
                  <w:vMerge w:val="continue"/>
                  <w:tcBorders>
                    <w:tl2br w:val="nil"/>
                    <w:tr2bl w:val="nil"/>
                  </w:tcBorders>
                  <w:shd w:val="clear" w:color="auto" w:fill="DCE6F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426" w:type="pct"/>
                  <w:vMerge w:val="continue"/>
                  <w:tcBorders>
                    <w:tl2br w:val="nil"/>
                    <w:tr2bl w:val="nil"/>
                  </w:tcBorders>
                  <w:shd w:val="clear" w:color="auto" w:fill="DCE6F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491" w:type="pct"/>
                  <w:vMerge w:val="continue"/>
                  <w:tcBorders>
                    <w:tl2br w:val="nil"/>
                    <w:tr2bl w:val="nil"/>
                  </w:tcBorders>
                  <w:shd w:val="clear" w:color="auto" w:fill="DCE6F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360" w:type="pct"/>
                  <w:vMerge w:val="continue"/>
                  <w:tcBorders>
                    <w:tl2br w:val="nil"/>
                    <w:tr2bl w:val="nil"/>
                  </w:tcBorders>
                  <w:shd w:val="clear" w:color="auto" w:fill="DCE6F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361" w:type="pc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 1 次</w:t>
                  </w:r>
                </w:p>
              </w:tc>
              <w:tc>
                <w:tcPr>
                  <w:tcW w:w="345" w:type="pc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 2</w:t>
                  </w:r>
                  <w:r>
                    <w:rPr>
                      <w:rFonts w:hint="default" w:ascii="Times New Roman" w:hAnsi="Times New Roman" w:eastAsia="宋体" w:cs="Times New Roman"/>
                      <w:b/>
                      <w:bCs/>
                      <w:color w:val="auto"/>
                      <w:spacing w:val="-12"/>
                      <w:sz w:val="21"/>
                      <w:szCs w:val="21"/>
                    </w:rPr>
                    <w:t xml:space="preserve"> </w:t>
                  </w:r>
                  <w:r>
                    <w:rPr>
                      <w:rFonts w:hint="default" w:ascii="Times New Roman" w:hAnsi="Times New Roman" w:eastAsia="宋体" w:cs="Times New Roman"/>
                      <w:b/>
                      <w:bCs/>
                      <w:color w:val="auto"/>
                      <w:sz w:val="21"/>
                      <w:szCs w:val="21"/>
                    </w:rPr>
                    <w:t>次</w:t>
                  </w:r>
                </w:p>
              </w:tc>
              <w:tc>
                <w:tcPr>
                  <w:tcW w:w="361" w:type="pc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 3</w:t>
                  </w:r>
                  <w:r>
                    <w:rPr>
                      <w:rFonts w:hint="default" w:ascii="Times New Roman" w:hAnsi="Times New Roman" w:eastAsia="宋体" w:cs="Times New Roman"/>
                      <w:b/>
                      <w:bCs/>
                      <w:color w:val="auto"/>
                      <w:spacing w:val="6"/>
                      <w:sz w:val="21"/>
                      <w:szCs w:val="21"/>
                    </w:rPr>
                    <w:t xml:space="preserve"> </w:t>
                  </w:r>
                  <w:r>
                    <w:rPr>
                      <w:rFonts w:hint="default" w:ascii="Times New Roman" w:hAnsi="Times New Roman" w:eastAsia="宋体" w:cs="Times New Roman"/>
                      <w:b/>
                      <w:bCs/>
                      <w:color w:val="auto"/>
                      <w:sz w:val="21"/>
                      <w:szCs w:val="21"/>
                    </w:rPr>
                    <w:t>次</w:t>
                  </w:r>
                </w:p>
              </w:tc>
              <w:tc>
                <w:tcPr>
                  <w:tcW w:w="345" w:type="pc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 4</w:t>
                  </w:r>
                  <w:r>
                    <w:rPr>
                      <w:rFonts w:hint="default" w:ascii="Times New Roman" w:hAnsi="Times New Roman" w:eastAsia="宋体" w:cs="Times New Roman"/>
                      <w:b/>
                      <w:bCs/>
                      <w:color w:val="auto"/>
                      <w:spacing w:val="-10"/>
                      <w:sz w:val="21"/>
                      <w:szCs w:val="21"/>
                    </w:rPr>
                    <w:t xml:space="preserve"> </w:t>
                  </w:r>
                  <w:r>
                    <w:rPr>
                      <w:rFonts w:hint="default" w:ascii="Times New Roman" w:hAnsi="Times New Roman" w:eastAsia="宋体" w:cs="Times New Roman"/>
                      <w:b/>
                      <w:bCs/>
                      <w:color w:val="auto"/>
                      <w:spacing w:val="-12"/>
                      <w:sz w:val="21"/>
                      <w:szCs w:val="21"/>
                    </w:rPr>
                    <w:t>次</w:t>
                  </w:r>
                </w:p>
              </w:tc>
              <w:tc>
                <w:tcPr>
                  <w:tcW w:w="352" w:type="pct"/>
                  <w:tcBorders>
                    <w:tl2br w:val="nil"/>
                    <w:tr2bl w:val="nil"/>
                  </w:tcBorders>
                  <w:shd w:val="clear" w:color="auto" w:fill="DCE6F2"/>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 5</w:t>
                  </w:r>
                  <w:r>
                    <w:rPr>
                      <w:rFonts w:hint="default" w:ascii="Times New Roman" w:hAnsi="Times New Roman" w:eastAsia="宋体" w:cs="Times New Roman"/>
                      <w:b/>
                      <w:bCs/>
                      <w:color w:val="auto"/>
                      <w:spacing w:val="2"/>
                      <w:sz w:val="21"/>
                      <w:szCs w:val="21"/>
                    </w:rPr>
                    <w:t xml:space="preserve"> </w:t>
                  </w:r>
                  <w:r>
                    <w:rPr>
                      <w:rFonts w:hint="default" w:ascii="Times New Roman" w:hAnsi="Times New Roman" w:eastAsia="宋体" w:cs="Times New Roman"/>
                      <w:b/>
                      <w:bCs/>
                      <w:color w:val="auto"/>
                      <w:spacing w:val="-13"/>
                      <w:sz w:val="21"/>
                      <w:szCs w:val="21"/>
                    </w:rPr>
                    <w:t>次</w:t>
                  </w:r>
                </w:p>
              </w:tc>
              <w:tc>
                <w:tcPr>
                  <w:tcW w:w="337" w:type="pct"/>
                  <w:vMerge w:val="continue"/>
                  <w:tcBorders>
                    <w:tl2br w:val="nil"/>
                    <w:tr2bl w:val="nil"/>
                  </w:tcBorders>
                  <w:shd w:val="clear" w:color="auto" w:fill="DCE6F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327" w:type="pct"/>
                  <w:vMerge w:val="continue"/>
                  <w:tcBorders>
                    <w:tl2br w:val="nil"/>
                    <w:tr2bl w:val="nil"/>
                  </w:tcBorders>
                  <w:shd w:val="clear" w:color="auto" w:fill="DCE6F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328" w:type="pct"/>
                  <w:vMerge w:val="continue"/>
                  <w:tcBorders>
                    <w:tl2br w:val="nil"/>
                    <w:tr2bl w:val="nil"/>
                  </w:tcBorders>
                  <w:shd w:val="clear" w:color="auto" w:fill="DCE6F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07"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2021.7.22</w:t>
                  </w:r>
                </w:p>
              </w:tc>
              <w:tc>
                <w:tcPr>
                  <w:tcW w:w="352"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26"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抽油烟机净化器排口</w:t>
                  </w:r>
                </w:p>
              </w:tc>
              <w:tc>
                <w:tcPr>
                  <w:tcW w:w="49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实测标干烟气流量</w:t>
                  </w:r>
                </w:p>
              </w:tc>
              <w:tc>
                <w:tcPr>
                  <w:tcW w:w="360"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w:t>
                  </w:r>
                </w:p>
              </w:tc>
              <w:tc>
                <w:tcPr>
                  <w:tcW w:w="36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504</w:t>
                  </w:r>
                </w:p>
              </w:tc>
              <w:tc>
                <w:tcPr>
                  <w:tcW w:w="345"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507</w:t>
                  </w:r>
                </w:p>
              </w:tc>
              <w:tc>
                <w:tcPr>
                  <w:tcW w:w="36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544</w:t>
                  </w:r>
                </w:p>
              </w:tc>
              <w:tc>
                <w:tcPr>
                  <w:tcW w:w="345"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556</w:t>
                  </w:r>
                </w:p>
              </w:tc>
              <w:tc>
                <w:tcPr>
                  <w:tcW w:w="352"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556</w:t>
                  </w:r>
                </w:p>
              </w:tc>
              <w:tc>
                <w:tcPr>
                  <w:tcW w:w="337"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7"/>
                      <w:sz w:val="21"/>
                      <w:szCs w:val="21"/>
                    </w:rPr>
                    <w:t>/</w:t>
                  </w:r>
                </w:p>
              </w:tc>
              <w:tc>
                <w:tcPr>
                  <w:tcW w:w="327"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7"/>
                      <w:sz w:val="21"/>
                      <w:szCs w:val="21"/>
                    </w:rPr>
                    <w:t>/</w:t>
                  </w:r>
                </w:p>
              </w:tc>
              <w:tc>
                <w:tcPr>
                  <w:tcW w:w="32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7"/>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3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4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49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油烟排放浓度</w:t>
                  </w:r>
                </w:p>
              </w:tc>
              <w:tc>
                <w:tcPr>
                  <w:tcW w:w="360"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lang w:val="en-US" w:eastAsia="zh-CN"/>
                    </w:rPr>
                    <w:t>3</w:t>
                  </w:r>
                </w:p>
              </w:tc>
              <w:tc>
                <w:tcPr>
                  <w:tcW w:w="36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345"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36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345"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352"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337"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327"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2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607"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2021.7.23</w:t>
                  </w:r>
                </w:p>
              </w:tc>
              <w:tc>
                <w:tcPr>
                  <w:tcW w:w="352"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26" w:type="pct"/>
                  <w:vMerge w:val="restar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抽油烟机净化器排口</w:t>
                  </w:r>
                </w:p>
              </w:tc>
              <w:tc>
                <w:tcPr>
                  <w:tcW w:w="49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实测标干烟气流量</w:t>
                  </w:r>
                </w:p>
              </w:tc>
              <w:tc>
                <w:tcPr>
                  <w:tcW w:w="360"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w:t>
                  </w:r>
                </w:p>
              </w:tc>
              <w:tc>
                <w:tcPr>
                  <w:tcW w:w="36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506</w:t>
                  </w:r>
                </w:p>
              </w:tc>
              <w:tc>
                <w:tcPr>
                  <w:tcW w:w="345"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489</w:t>
                  </w:r>
                </w:p>
              </w:tc>
              <w:tc>
                <w:tcPr>
                  <w:tcW w:w="36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488</w:t>
                  </w:r>
                </w:p>
              </w:tc>
              <w:tc>
                <w:tcPr>
                  <w:tcW w:w="345"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497</w:t>
                  </w:r>
                </w:p>
              </w:tc>
              <w:tc>
                <w:tcPr>
                  <w:tcW w:w="352"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w:t>
                  </w:r>
                </w:p>
              </w:tc>
              <w:tc>
                <w:tcPr>
                  <w:tcW w:w="337"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7"/>
                      <w:sz w:val="21"/>
                      <w:szCs w:val="21"/>
                    </w:rPr>
                    <w:t>/</w:t>
                  </w:r>
                </w:p>
              </w:tc>
              <w:tc>
                <w:tcPr>
                  <w:tcW w:w="327"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7"/>
                      <w:sz w:val="21"/>
                      <w:szCs w:val="21"/>
                    </w:rPr>
                    <w:t>/</w:t>
                  </w:r>
                </w:p>
              </w:tc>
              <w:tc>
                <w:tcPr>
                  <w:tcW w:w="32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7"/>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3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4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49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油烟排放浓度</w:t>
                  </w:r>
                </w:p>
              </w:tc>
              <w:tc>
                <w:tcPr>
                  <w:tcW w:w="360"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lang w:val="en-US" w:eastAsia="zh-CN"/>
                    </w:rPr>
                    <w:t>3</w:t>
                  </w:r>
                </w:p>
              </w:tc>
              <w:tc>
                <w:tcPr>
                  <w:tcW w:w="36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345"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361"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45"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352"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337"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327"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2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pStyle w:val="2"/>
              <w:keepNext w:val="0"/>
              <w:keepLines w:val="0"/>
              <w:pageBreakBefore w:val="0"/>
              <w:widowControl w:val="0"/>
              <w:kinsoku/>
              <w:wordWrap/>
              <w:overflowPunct/>
              <w:topLinePunct w:val="0"/>
              <w:autoSpaceDE/>
              <w:autoSpaceDN/>
              <w:bidi w:val="0"/>
              <w:adjustRightInd/>
              <w:spacing w:before="0" w:after="0" w:afterAutospacing="0" w:line="360" w:lineRule="auto"/>
              <w:ind w:left="0" w:right="0" w:firstLine="472" w:firstLineChars="200"/>
              <w:textAlignment w:val="auto"/>
              <w:rPr>
                <w:rFonts w:hint="eastAsia" w:ascii="Times New Roman" w:hAnsi="Times New Roman" w:eastAsia="宋体"/>
                <w:color w:val="auto"/>
                <w:sz w:val="24"/>
                <w:szCs w:val="24"/>
                <w:u w:val="single"/>
                <w:lang w:eastAsia="zh-CN"/>
              </w:rPr>
            </w:pPr>
            <w:r>
              <w:rPr>
                <w:rFonts w:ascii="Times New Roman" w:hAnsi="Times New Roman" w:eastAsia="宋体"/>
                <w:bCs/>
                <w:color w:val="auto"/>
                <w:sz w:val="24"/>
                <w:szCs w:val="24"/>
              </w:rPr>
              <w:t>根据监测结果可知，项目</w:t>
            </w:r>
            <w:r>
              <w:rPr>
                <w:rFonts w:hint="eastAsia" w:ascii="Times New Roman" w:hAnsi="Times New Roman" w:eastAsia="宋体"/>
                <w:bCs/>
                <w:color w:val="auto"/>
                <w:sz w:val="24"/>
                <w:szCs w:val="24"/>
              </w:rPr>
              <w:t>造粒废气、搅拌粉尘、拉丝废气</w:t>
            </w:r>
            <w:r>
              <w:rPr>
                <w:rFonts w:ascii="Times New Roman" w:hAnsi="Times New Roman" w:eastAsia="宋体"/>
                <w:bCs/>
                <w:color w:val="auto"/>
                <w:sz w:val="24"/>
                <w:szCs w:val="24"/>
              </w:rPr>
              <w:t>有组织废气排放口所测指标</w:t>
            </w:r>
            <w:r>
              <w:rPr>
                <w:rFonts w:hint="eastAsia" w:ascii="Times New Roman" w:hAnsi="Times New Roman" w:eastAsia="宋体"/>
                <w:bCs/>
                <w:color w:val="auto"/>
                <w:sz w:val="24"/>
                <w:szCs w:val="24"/>
              </w:rPr>
              <w:t>颗粒物、非甲烷总烃检测结果满足《合成树脂工业污染物排放标准》 （GB31572-2015）表 5 特别排放限值</w:t>
            </w:r>
            <w:r>
              <w:rPr>
                <w:rFonts w:ascii="Times New Roman" w:hAnsi="Times New Roman" w:eastAsia="宋体"/>
                <w:bCs/>
                <w:color w:val="auto"/>
                <w:sz w:val="24"/>
                <w:szCs w:val="24"/>
              </w:rPr>
              <w:t>。</w:t>
            </w:r>
            <w:r>
              <w:rPr>
                <w:rFonts w:hint="eastAsia" w:ascii="Times New Roman" w:hAnsi="Times New Roman" w:eastAsia="宋体"/>
                <w:bCs/>
                <w:color w:val="auto"/>
                <w:sz w:val="24"/>
                <w:szCs w:val="24"/>
              </w:rPr>
              <w:t>油烟废气排气筒油烟排放浓度满足《饮食业油烟排放标准（试行）》（GB18483-2001）表 2 限值要求。</w:t>
            </w:r>
          </w:p>
          <w:p>
            <w:pPr>
              <w:spacing w:before="156" w:beforeLines="50"/>
              <w:jc w:val="center"/>
              <w:rPr>
                <w:rFonts w:hint="default" w:ascii="Times New Roman" w:hAnsi="Times New Roman" w:cs="Times New Roman"/>
                <w:b/>
                <w:color w:val="auto"/>
                <w:szCs w:val="21"/>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w:t>
            </w:r>
            <w:r>
              <w:rPr>
                <w:rFonts w:hint="eastAsia" w:ascii="Times New Roman" w:hAnsi="Times New Roman" w:cs="Times New Roman"/>
                <w:b/>
                <w:color w:val="auto"/>
                <w:szCs w:val="21"/>
                <w:highlight w:val="none"/>
                <w:lang w:val="en-US" w:eastAsia="zh-CN"/>
              </w:rPr>
              <w:t>12</w:t>
            </w:r>
            <w:r>
              <w:rPr>
                <w:rFonts w:hint="default" w:ascii="Times New Roman" w:hAnsi="Times New Roman" w:cs="Times New Roman"/>
                <w:b/>
                <w:color w:val="auto"/>
                <w:szCs w:val="21"/>
                <w:highlight w:val="none"/>
                <w:lang w:val="en-US" w:eastAsia="zh-CN"/>
              </w:rPr>
              <w:t xml:space="preserve"> </w:t>
            </w:r>
            <w:r>
              <w:rPr>
                <w:rFonts w:hint="default" w:ascii="Times New Roman" w:hAnsi="Times New Roman" w:cs="Times New Roman"/>
                <w:b/>
                <w:color w:val="auto"/>
                <w:szCs w:val="21"/>
                <w:highlight w:val="none"/>
              </w:rPr>
              <w:t xml:space="preserve"> </w:t>
            </w:r>
            <w:r>
              <w:rPr>
                <w:rFonts w:hint="default" w:ascii="Times New Roman" w:hAnsi="Times New Roman" w:cs="Times New Roman"/>
                <w:b/>
                <w:color w:val="auto"/>
                <w:szCs w:val="21"/>
                <w:highlight w:val="none"/>
                <w:lang w:val="en-US" w:eastAsia="zh-CN"/>
              </w:rPr>
              <w:t>原项目废气</w:t>
            </w:r>
            <w:r>
              <w:rPr>
                <w:rFonts w:hint="default" w:ascii="Times New Roman" w:hAnsi="Times New Roman" w:cs="Times New Roman"/>
                <w:b/>
                <w:color w:val="auto"/>
                <w:szCs w:val="21"/>
              </w:rPr>
              <w:t>排放情况</w:t>
            </w:r>
          </w:p>
          <w:tbl>
            <w:tblPr>
              <w:tblStyle w:val="30"/>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178"/>
              <w:gridCol w:w="1727"/>
              <w:gridCol w:w="3629"/>
              <w:gridCol w:w="972"/>
              <w:gridCol w:w="88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02" w:type="pct"/>
                  <w:tcBorders>
                    <w:tl2br w:val="nil"/>
                    <w:tr2bl w:val="nil"/>
                  </w:tcBorders>
                  <w:shd w:val="clear" w:color="auto" w:fill="DCE6F2"/>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r>
                    <w:rPr>
                      <w:rFonts w:hint="eastAsia" w:ascii="Times New Roman" w:hAnsi="Times New Roman" w:cs="Times New Roman"/>
                      <w:b/>
                      <w:bCs/>
                      <w:color w:val="auto"/>
                      <w:sz w:val="21"/>
                      <w:szCs w:val="21"/>
                      <w:lang w:val="en-US" w:eastAsia="zh-CN"/>
                    </w:rPr>
                    <w:t>序号</w:t>
                  </w:r>
                </w:p>
              </w:tc>
              <w:tc>
                <w:tcPr>
                  <w:tcW w:w="1029" w:type="pct"/>
                  <w:tcBorders>
                    <w:tl2br w:val="nil"/>
                    <w:tr2bl w:val="nil"/>
                  </w:tcBorders>
                  <w:shd w:val="clear" w:color="auto" w:fill="DCE6F2"/>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1"/>
                      <w:szCs w:val="21"/>
                    </w:rPr>
                  </w:pPr>
                  <w:r>
                    <w:rPr>
                      <w:rFonts w:hint="eastAsia" w:ascii="Times New Roman" w:hAnsi="Times New Roman" w:cs="Times New Roman"/>
                      <w:b/>
                      <w:bCs/>
                      <w:color w:val="auto"/>
                      <w:sz w:val="21"/>
                      <w:szCs w:val="21"/>
                      <w:lang w:val="en-US" w:eastAsia="zh-CN"/>
                    </w:rPr>
                    <w:t>废气</w:t>
                  </w:r>
                </w:p>
              </w:tc>
              <w:tc>
                <w:tcPr>
                  <w:tcW w:w="2162" w:type="pct"/>
                  <w:tcBorders>
                    <w:tl2br w:val="nil"/>
                    <w:tr2bl w:val="nil"/>
                  </w:tcBorders>
                  <w:shd w:val="clear" w:color="auto" w:fill="DCE6F2"/>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原项目处理设施</w:t>
                  </w:r>
                </w:p>
              </w:tc>
              <w:tc>
                <w:tcPr>
                  <w:tcW w:w="1105" w:type="pct"/>
                  <w:gridSpan w:val="2"/>
                  <w:tcBorders>
                    <w:tl2br w:val="nil"/>
                    <w:tr2bl w:val="nil"/>
                  </w:tcBorders>
                  <w:shd w:val="clear" w:color="auto" w:fill="DCE6F2"/>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32" w:hRule="atLeast"/>
              </w:trPr>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02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有机废气</w:t>
                  </w:r>
                </w:p>
              </w:tc>
              <w:tc>
                <w:tcPr>
                  <w:tcW w:w="216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rPr>
                    <w:t>集气罩</w:t>
                  </w:r>
                  <w:r>
                    <w:rPr>
                      <w:rFonts w:hint="eastAsia" w:ascii="Times New Roman" w:hAnsi="Times New Roman" w:eastAsia="宋体" w:cs="Times New Roman"/>
                      <w:b w:val="0"/>
                      <w:bCs/>
                      <w:color w:val="auto"/>
                      <w:sz w:val="21"/>
                      <w:szCs w:val="21"/>
                      <w:lang w:eastAsia="zh-CN"/>
                    </w:rPr>
                    <w:t>（</w:t>
                  </w:r>
                  <w:r>
                    <w:rPr>
                      <w:rFonts w:hint="eastAsia" w:ascii="Times New Roman" w:hAnsi="Times New Roman" w:eastAsia="宋体" w:cs="Times New Roman"/>
                      <w:b w:val="0"/>
                      <w:bCs/>
                      <w:color w:val="auto"/>
                      <w:sz w:val="21"/>
                      <w:szCs w:val="21"/>
                      <w:lang w:val="en-US" w:eastAsia="zh-CN"/>
                    </w:rPr>
                    <w:t>集气率90%</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+布袋除尘器+水膜+喷淋塔+过滤棉+UV 光解+低温等离子+二级活性炭吸附处理后</w:t>
                  </w:r>
                  <w:r>
                    <w:rPr>
                      <w:rFonts w:hint="eastAsia" w:ascii="Times New Roman" w:hAnsi="Times New Roman" w:eastAsia="宋体" w:cs="Times New Roman"/>
                      <w:b w:val="0"/>
                      <w:bCs/>
                      <w:color w:val="auto"/>
                      <w:sz w:val="21"/>
                      <w:szCs w:val="21"/>
                      <w:lang w:eastAsia="zh-CN"/>
                    </w:rPr>
                    <w:t>（</w:t>
                  </w:r>
                  <w:r>
                    <w:rPr>
                      <w:rFonts w:hint="eastAsia" w:ascii="Times New Roman" w:hAnsi="Times New Roman" w:eastAsia="宋体" w:cs="Times New Roman"/>
                      <w:b w:val="0"/>
                      <w:bCs/>
                      <w:color w:val="auto"/>
                      <w:sz w:val="21"/>
                      <w:szCs w:val="21"/>
                      <w:lang w:val="en-US" w:eastAsia="zh-CN"/>
                    </w:rPr>
                    <w:t>有机废气处理率90%，颗粒物处理率99%</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通过 15 米高排气筒</w:t>
                  </w:r>
                  <w:r>
                    <w:rPr>
                      <w:rFonts w:hint="default" w:ascii="Times New Roman" w:hAnsi="Times New Roman" w:eastAsia="宋体" w:cs="Times New Roman"/>
                      <w:b w:val="0"/>
                      <w:bCs/>
                      <w:color w:val="auto"/>
                      <w:sz w:val="21"/>
                      <w:szCs w:val="21"/>
                      <w:lang w:eastAsia="zh-CN"/>
                    </w:rPr>
                    <w:t>（</w:t>
                  </w:r>
                  <w:r>
                    <w:rPr>
                      <w:rFonts w:hint="eastAsia" w:ascii="Times New Roman" w:hAnsi="Times New Roman" w:eastAsia="宋体" w:cs="Times New Roman"/>
                      <w:b w:val="0"/>
                      <w:bCs/>
                      <w:color w:val="auto"/>
                      <w:sz w:val="21"/>
                      <w:szCs w:val="21"/>
                      <w:lang w:val="en-US" w:eastAsia="zh-CN"/>
                    </w:rPr>
                    <w:t>DA001</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排放</w:t>
                  </w: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5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31" w:hRule="atLeast"/>
              </w:trPr>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p>
              </w:tc>
              <w:tc>
                <w:tcPr>
                  <w:tcW w:w="10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p>
              </w:tc>
              <w:tc>
                <w:tcPr>
                  <w:tcW w:w="21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5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02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21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5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p>
              </w:tc>
              <w:tc>
                <w:tcPr>
                  <w:tcW w:w="102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highlight w:val="none"/>
                      <w:lang w:val="en-US" w:eastAsia="zh-CN"/>
                    </w:rPr>
                  </w:pPr>
                </w:p>
              </w:tc>
              <w:tc>
                <w:tcPr>
                  <w:tcW w:w="21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p>
              </w:tc>
              <w:tc>
                <w:tcPr>
                  <w:tcW w:w="5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52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r>
          </w:tbl>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2" w:firstLineChars="200"/>
              <w:textAlignment w:val="auto"/>
              <w:rPr>
                <w:rFonts w:hint="eastAsia" w:ascii="Times New Roman" w:hAnsi="Times New Roman"/>
                <w:color w:val="auto"/>
                <w:sz w:val="24"/>
                <w:szCs w:val="24"/>
              </w:rPr>
            </w:pPr>
            <w:r>
              <w:rPr>
                <w:rFonts w:hint="eastAsia" w:ascii="Times New Roman" w:hAnsi="Times New Roman"/>
                <w:b/>
                <w:bCs/>
                <w:color w:val="auto"/>
                <w:sz w:val="24"/>
                <w:szCs w:val="24"/>
                <w:lang w:val="en-US" w:eastAsia="zh-CN"/>
              </w:rPr>
              <w:t>（2）</w:t>
            </w:r>
            <w:r>
              <w:rPr>
                <w:rFonts w:hint="eastAsia" w:ascii="Times New Roman" w:hAnsi="Times New Roman"/>
                <w:b/>
                <w:bCs/>
                <w:color w:val="auto"/>
                <w:sz w:val="24"/>
                <w:szCs w:val="24"/>
              </w:rPr>
              <w:t>废水产生及治理</w:t>
            </w:r>
          </w:p>
          <w:p>
            <w:pPr>
              <w:pStyle w:val="2"/>
              <w:keepNext w:val="0"/>
              <w:keepLines w:val="0"/>
              <w:pageBreakBefore w:val="0"/>
              <w:widowControl w:val="0"/>
              <w:kinsoku/>
              <w:wordWrap/>
              <w:overflowPunct/>
              <w:topLinePunct w:val="0"/>
              <w:autoSpaceDE/>
              <w:autoSpaceDN/>
              <w:bidi w:val="0"/>
              <w:adjustRightInd/>
              <w:spacing w:before="0" w:after="0" w:afterAutospacing="0" w:line="360" w:lineRule="auto"/>
              <w:ind w:left="0" w:right="0" w:firstLine="474" w:firstLineChars="200"/>
              <w:textAlignment w:val="auto"/>
              <w:rPr>
                <w:rFonts w:ascii="Times New Roman" w:hAnsi="Times New Roman" w:eastAsia="宋体"/>
                <w:b/>
                <w:color w:val="auto"/>
                <w:sz w:val="24"/>
                <w:szCs w:val="24"/>
              </w:rPr>
            </w:pPr>
            <w:r>
              <w:rPr>
                <w:rFonts w:ascii="Times New Roman" w:hAnsi="Times New Roman" w:eastAsia="宋体"/>
                <w:b/>
                <w:color w:val="auto"/>
                <w:sz w:val="24"/>
                <w:szCs w:val="24"/>
              </w:rPr>
              <w:t>①生产废水</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原项目</w:t>
            </w:r>
            <w:r>
              <w:rPr>
                <w:rFonts w:hint="default" w:ascii="Times New Roman" w:hAnsi="Times New Roman" w:eastAsia="宋体" w:cs="Times New Roman"/>
                <w:bCs/>
                <w:color w:val="auto"/>
                <w:sz w:val="24"/>
                <w:szCs w:val="24"/>
              </w:rPr>
              <w:t>生产</w:t>
            </w:r>
            <w:r>
              <w:rPr>
                <w:rFonts w:hint="default" w:ascii="Times New Roman" w:hAnsi="Times New Roman" w:eastAsia="宋体" w:cs="Times New Roman"/>
                <w:bCs/>
                <w:color w:val="auto"/>
                <w:sz w:val="24"/>
                <w:szCs w:val="24"/>
                <w:lang w:val="en-US" w:eastAsia="zh-CN"/>
              </w:rPr>
              <w:t>用</w:t>
            </w:r>
            <w:r>
              <w:rPr>
                <w:rFonts w:hint="default" w:ascii="Times New Roman" w:hAnsi="Times New Roman" w:eastAsia="宋体" w:cs="Times New Roman"/>
                <w:bCs/>
                <w:color w:val="auto"/>
                <w:sz w:val="24"/>
                <w:szCs w:val="24"/>
              </w:rPr>
              <w:t>水包括原料清洗废水、</w:t>
            </w:r>
            <w:r>
              <w:rPr>
                <w:rFonts w:hint="default" w:ascii="Times New Roman" w:hAnsi="Times New Roman" w:eastAsia="宋体" w:cs="Times New Roman"/>
                <w:bCs/>
                <w:color w:val="auto"/>
                <w:sz w:val="24"/>
                <w:szCs w:val="24"/>
                <w:lang w:val="en-US" w:eastAsia="zh-CN"/>
              </w:rPr>
              <w:t>喷淋用水</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塑料条冷却用水、</w:t>
            </w:r>
            <w:r>
              <w:rPr>
                <w:rFonts w:hint="default" w:ascii="Times New Roman" w:hAnsi="Times New Roman" w:eastAsia="宋体" w:cs="Times New Roman"/>
                <w:b w:val="0"/>
                <w:bCs/>
                <w:color w:val="auto"/>
                <w:sz w:val="24"/>
                <w:szCs w:val="24"/>
                <w:u w:val="none"/>
                <w:lang w:val="en-US" w:eastAsia="zh-CN"/>
              </w:rPr>
              <w:t>拉丝冷却水</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其中，</w:t>
            </w:r>
            <w:r>
              <w:rPr>
                <w:rFonts w:hint="default" w:ascii="Times New Roman" w:hAnsi="Times New Roman" w:eastAsia="宋体" w:cs="Times New Roman"/>
                <w:color w:val="auto"/>
                <w:sz w:val="24"/>
                <w:szCs w:val="24"/>
                <w:lang w:val="en-US" w:eastAsia="zh-CN"/>
              </w:rPr>
              <w:t>清洗及喷淋</w:t>
            </w:r>
            <w:r>
              <w:rPr>
                <w:rFonts w:hint="default" w:ascii="Times New Roman" w:hAnsi="Times New Roman" w:eastAsia="宋体" w:cs="Times New Roman"/>
                <w:color w:val="auto"/>
                <w:sz w:val="24"/>
                <w:szCs w:val="24"/>
              </w:rPr>
              <w:t>废水</w:t>
            </w:r>
            <w:r>
              <w:rPr>
                <w:rFonts w:hint="default" w:ascii="Times New Roman" w:hAnsi="Times New Roman" w:eastAsia="宋体" w:cs="Times New Roman"/>
                <w:color w:val="auto"/>
                <w:sz w:val="24"/>
                <w:szCs w:val="24"/>
                <w:lang w:val="en-US" w:eastAsia="zh-CN"/>
              </w:rPr>
              <w:t>经</w:t>
            </w:r>
            <w:r>
              <w:rPr>
                <w:rFonts w:hint="default" w:ascii="Times New Roman" w:hAnsi="Times New Roman" w:eastAsia="宋体" w:cs="Times New Roman"/>
                <w:color w:val="auto"/>
                <w:sz w:val="24"/>
                <w:szCs w:val="24"/>
              </w:rPr>
              <w:t>自建3000m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/d污水处理站处理后循环回用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不外排</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lang w:val="en-US" w:eastAsia="zh-CN"/>
              </w:rPr>
              <w:t>塑料条冷却用水和</w:t>
            </w:r>
            <w:r>
              <w:rPr>
                <w:rFonts w:hint="default" w:ascii="Times New Roman" w:hAnsi="Times New Roman" w:eastAsia="宋体" w:cs="Times New Roman"/>
                <w:b w:val="0"/>
                <w:bCs/>
                <w:color w:val="auto"/>
                <w:sz w:val="24"/>
                <w:szCs w:val="24"/>
                <w:u w:val="none"/>
                <w:lang w:val="en-US" w:eastAsia="zh-CN"/>
              </w:rPr>
              <w:t>拉丝冷却水经沉淀处理后循环使用，不外排</w:t>
            </w:r>
            <w:r>
              <w:rPr>
                <w:rFonts w:hint="eastAsia" w:ascii="Times New Roman" w:hAnsi="Times New Roman" w:eastAsia="宋体" w:cs="Times New Roman"/>
                <w:bCs/>
                <w:color w:val="auto"/>
                <w:sz w:val="24"/>
                <w:szCs w:val="24"/>
                <w:lang w:val="en-US" w:eastAsia="zh-CN"/>
              </w:rPr>
              <w:t>。</w:t>
            </w:r>
          </w:p>
          <w:p>
            <w:pPr>
              <w:pStyle w:val="2"/>
              <w:keepNext w:val="0"/>
              <w:keepLines w:val="0"/>
              <w:pageBreakBefore w:val="0"/>
              <w:widowControl w:val="0"/>
              <w:kinsoku/>
              <w:wordWrap/>
              <w:overflowPunct/>
              <w:topLinePunct w:val="0"/>
              <w:autoSpaceDE/>
              <w:autoSpaceDN/>
              <w:bidi w:val="0"/>
              <w:adjustRightInd/>
              <w:spacing w:before="0" w:after="0" w:afterAutospacing="0" w:line="360" w:lineRule="auto"/>
              <w:ind w:left="0" w:right="0" w:firstLine="472" w:firstLineChars="200"/>
              <w:textAlignment w:val="auto"/>
              <w:rPr>
                <w:rFonts w:hint="default" w:ascii="Times New Roman" w:hAnsi="Times New Roman" w:eastAsia="宋体" w:cs="Times New Roman"/>
                <w:bCs/>
                <w:color w:val="auto"/>
                <w:sz w:val="24"/>
                <w:szCs w:val="24"/>
                <w:u w:val="none"/>
              </w:rPr>
            </w:pPr>
            <w:r>
              <w:rPr>
                <w:rFonts w:hint="default" w:ascii="Times New Roman" w:hAnsi="Times New Roman" w:eastAsia="宋体" w:cs="Times New Roman"/>
                <w:bCs/>
                <w:color w:val="auto"/>
                <w:sz w:val="24"/>
                <w:szCs w:val="24"/>
                <w:u w:val="none"/>
                <w:lang w:val="en-US" w:eastAsia="zh-CN"/>
              </w:rPr>
              <w:t>公司</w:t>
            </w:r>
            <w:r>
              <w:rPr>
                <w:rFonts w:hint="default" w:ascii="Times New Roman" w:hAnsi="Times New Roman" w:eastAsia="宋体" w:cs="Times New Roman"/>
                <w:bCs/>
                <w:color w:val="auto"/>
                <w:sz w:val="24"/>
                <w:szCs w:val="24"/>
                <w:u w:val="none"/>
              </w:rPr>
              <w:t>自建污水处理站工艺流程如下所示：</w:t>
            </w:r>
          </w:p>
          <w:p>
            <w:pPr>
              <w:pStyle w:val="2"/>
              <w:adjustRightInd/>
              <w:spacing w:line="240" w:lineRule="auto"/>
              <w:ind w:left="0" w:right="0" w:firstLine="0"/>
              <w:jc w:val="center"/>
              <w:textAlignment w:val="auto"/>
              <w:rPr>
                <w:rFonts w:ascii="Times New Roman" w:hAnsi="Times New Roman" w:eastAsia="宋体"/>
                <w:bCs/>
                <w:color w:val="auto"/>
                <w:sz w:val="21"/>
                <w:szCs w:val="21"/>
                <w:u w:val="none"/>
              </w:rPr>
            </w:pPr>
            <w:r>
              <w:rPr>
                <w:rFonts w:ascii="Times New Roman" w:hAnsi="Times New Roman" w:eastAsia="宋体"/>
                <w:bCs/>
                <w:color w:val="auto"/>
                <w:sz w:val="21"/>
                <w:szCs w:val="21"/>
                <w:u w:val="none"/>
              </w:rPr>
              <w:object>
                <v:shape id="_x0000_i1030" o:spt="75" type="#_x0000_t75" style="height:341.05pt;width:333.85pt;" o:ole="t" filled="f" o:preferrelative="t" stroked="f" coordsize="21600,21600">
                  <v:path/>
                  <v:fill on="f" focussize="0,0"/>
                  <v:stroke on="f"/>
                  <v:imagedata r:id="rId35" o:title=""/>
                  <o:lock v:ext="edit" aspectratio="f"/>
                  <w10:wrap type="none"/>
                  <w10:anchorlock/>
                </v:shape>
                <o:OLEObject Type="Embed" ProgID="Visio.Drawing.15" ShapeID="_x0000_i1030" DrawAspect="Content" ObjectID="_1468075730" r:id="rId34">
                  <o:LockedField>false</o:LockedField>
                </o:OLEObject>
              </w:objec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0" w:firstLineChars="0"/>
              <w:jc w:val="center"/>
              <w:textAlignment w:val="auto"/>
              <w:rPr>
                <w:rFonts w:ascii="Times New Roman" w:hAnsi="Times New Roman" w:eastAsia="宋体"/>
                <w:b/>
                <w:color w:val="auto"/>
                <w:sz w:val="21"/>
                <w:szCs w:val="21"/>
                <w:u w:val="none"/>
              </w:rPr>
            </w:pPr>
            <w:r>
              <w:rPr>
                <w:rFonts w:ascii="Times New Roman" w:hAnsi="Times New Roman" w:eastAsia="宋体"/>
                <w:b/>
                <w:color w:val="auto"/>
                <w:sz w:val="21"/>
                <w:szCs w:val="21"/>
                <w:u w:val="none"/>
              </w:rPr>
              <w:t>图</w:t>
            </w:r>
            <w:r>
              <w:rPr>
                <w:rFonts w:hint="eastAsia" w:ascii="Times New Roman" w:hAnsi="Times New Roman" w:eastAsia="宋体"/>
                <w:b/>
                <w:color w:val="auto"/>
                <w:sz w:val="21"/>
                <w:szCs w:val="21"/>
                <w:u w:val="none"/>
                <w:lang w:val="en-US" w:eastAsia="zh-CN"/>
              </w:rPr>
              <w:t>2</w:t>
            </w:r>
            <w:r>
              <w:rPr>
                <w:rFonts w:ascii="Times New Roman" w:hAnsi="Times New Roman" w:eastAsia="宋体"/>
                <w:b/>
                <w:color w:val="auto"/>
                <w:sz w:val="21"/>
                <w:szCs w:val="21"/>
                <w:u w:val="none"/>
              </w:rPr>
              <w:t>-</w:t>
            </w:r>
            <w:r>
              <w:rPr>
                <w:rFonts w:hint="eastAsia" w:ascii="Times New Roman" w:hAnsi="Times New Roman" w:eastAsia="宋体"/>
                <w:b/>
                <w:color w:val="auto"/>
                <w:sz w:val="21"/>
                <w:szCs w:val="21"/>
                <w:u w:val="none"/>
                <w:lang w:val="en-US" w:eastAsia="zh-CN"/>
              </w:rPr>
              <w:t>6</w:t>
            </w:r>
            <w:r>
              <w:rPr>
                <w:rFonts w:ascii="Times New Roman" w:hAnsi="Times New Roman" w:eastAsia="宋体"/>
                <w:b/>
                <w:color w:val="auto"/>
                <w:sz w:val="21"/>
                <w:szCs w:val="21"/>
                <w:u w:val="none"/>
              </w:rPr>
              <w:t xml:space="preserve">  污水处理站工艺流程图</w:t>
            </w:r>
          </w:p>
          <w:tbl>
            <w:tblPr>
              <w:tblStyle w:val="30"/>
              <w:tblW w:w="0" w:type="auto"/>
              <w:jc w:val="center"/>
              <w:tblLayout w:type="autofit"/>
              <w:tblCellMar>
                <w:top w:w="0" w:type="dxa"/>
                <w:left w:w="108" w:type="dxa"/>
                <w:bottom w:w="0" w:type="dxa"/>
                <w:right w:w="108" w:type="dxa"/>
              </w:tblCellMar>
            </w:tblPr>
            <w:tblGrid>
              <w:gridCol w:w="4196"/>
              <w:gridCol w:w="4196"/>
            </w:tblGrid>
            <w:tr>
              <w:tblPrEx>
                <w:tblCellMar>
                  <w:top w:w="0" w:type="dxa"/>
                  <w:left w:w="108" w:type="dxa"/>
                  <w:bottom w:w="0" w:type="dxa"/>
                  <w:right w:w="108" w:type="dxa"/>
                </w:tblCellMar>
              </w:tblPrEx>
              <w:trPr>
                <w:jc w:val="center"/>
              </w:trPr>
              <w:tc>
                <w:tcPr>
                  <w:tcW w:w="4264" w:type="dxa"/>
                  <w:noWrap w:val="0"/>
                  <w:vAlign w:val="center"/>
                </w:tcPr>
                <w:p>
                  <w:pPr>
                    <w:pStyle w:val="2"/>
                    <w:adjustRightInd/>
                    <w:spacing w:line="240" w:lineRule="auto"/>
                    <w:ind w:left="0" w:right="0" w:firstLine="0"/>
                    <w:jc w:val="center"/>
                    <w:textAlignment w:val="auto"/>
                    <w:rPr>
                      <w:rFonts w:hint="eastAsia" w:ascii="Times New Roman" w:hAnsi="Times New Roman"/>
                      <w:bCs/>
                      <w:color w:val="auto"/>
                      <w:sz w:val="21"/>
                      <w:szCs w:val="21"/>
                    </w:rPr>
                  </w:pPr>
                  <w:r>
                    <w:rPr>
                      <w:color w:val="auto"/>
                    </w:rPr>
                    <w:drawing>
                      <wp:inline distT="0" distB="0" distL="114300" distR="114300">
                        <wp:extent cx="2567940" cy="1821180"/>
                        <wp:effectExtent l="0" t="0" r="3810" b="7620"/>
                        <wp:docPr id="1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9"/>
                                <pic:cNvPicPr>
                                  <a:picLocks noChangeAspect="1"/>
                                </pic:cNvPicPr>
                              </pic:nvPicPr>
                              <pic:blipFill>
                                <a:blip r:embed="rId36"/>
                                <a:stretch>
                                  <a:fillRect/>
                                </a:stretch>
                              </pic:blipFill>
                              <pic:spPr>
                                <a:xfrm>
                                  <a:off x="0" y="0"/>
                                  <a:ext cx="2567940" cy="1821180"/>
                                </a:xfrm>
                                <a:prstGeom prst="rect">
                                  <a:avLst/>
                                </a:prstGeom>
                                <a:noFill/>
                                <a:ln>
                                  <a:noFill/>
                                </a:ln>
                              </pic:spPr>
                            </pic:pic>
                          </a:graphicData>
                        </a:graphic>
                      </wp:inline>
                    </w:drawing>
                  </w:r>
                </w:p>
              </w:tc>
              <w:tc>
                <w:tcPr>
                  <w:tcW w:w="4264" w:type="dxa"/>
                  <w:noWrap w:val="0"/>
                  <w:vAlign w:val="center"/>
                </w:tcPr>
                <w:p>
                  <w:pPr>
                    <w:pStyle w:val="2"/>
                    <w:adjustRightInd/>
                    <w:spacing w:line="240" w:lineRule="auto"/>
                    <w:ind w:left="0" w:right="0" w:firstLine="0"/>
                    <w:jc w:val="center"/>
                    <w:textAlignment w:val="auto"/>
                    <w:rPr>
                      <w:rFonts w:hint="eastAsia" w:ascii="Times New Roman" w:hAnsi="Times New Roman"/>
                      <w:bCs/>
                      <w:color w:val="auto"/>
                      <w:sz w:val="21"/>
                      <w:szCs w:val="21"/>
                    </w:rPr>
                  </w:pPr>
                  <w:r>
                    <w:rPr>
                      <w:color w:val="auto"/>
                    </w:rPr>
                    <w:drawing>
                      <wp:inline distT="0" distB="0" distL="114300" distR="114300">
                        <wp:extent cx="2562860" cy="1838960"/>
                        <wp:effectExtent l="0" t="0" r="8890" b="8890"/>
                        <wp:docPr id="1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0"/>
                                <pic:cNvPicPr>
                                  <a:picLocks noChangeAspect="1"/>
                                </pic:cNvPicPr>
                              </pic:nvPicPr>
                              <pic:blipFill>
                                <a:blip r:embed="rId37"/>
                                <a:stretch>
                                  <a:fillRect/>
                                </a:stretch>
                              </pic:blipFill>
                              <pic:spPr>
                                <a:xfrm>
                                  <a:off x="0" y="0"/>
                                  <a:ext cx="2562860" cy="183896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8528" w:type="dxa"/>
                  <w:gridSpan w:val="2"/>
                  <w:noWrap w:val="0"/>
                  <w:vAlign w:val="center"/>
                </w:tcPr>
                <w:p>
                  <w:pPr>
                    <w:pStyle w:val="2"/>
                    <w:adjustRightInd/>
                    <w:spacing w:before="0" w:line="240" w:lineRule="auto"/>
                    <w:ind w:left="0" w:right="0" w:firstLine="0"/>
                    <w:jc w:val="center"/>
                    <w:textAlignment w:val="auto"/>
                    <w:rPr>
                      <w:rFonts w:hint="eastAsia" w:ascii="Times New Roman" w:hAnsi="Times New Roman"/>
                      <w:bCs/>
                      <w:color w:val="auto"/>
                      <w:sz w:val="21"/>
                      <w:szCs w:val="21"/>
                    </w:rPr>
                  </w:pPr>
                  <w:r>
                    <w:rPr>
                      <w:rFonts w:ascii="Times New Roman" w:hAnsi="Times New Roman" w:eastAsia="宋体"/>
                      <w:b/>
                      <w:color w:val="auto"/>
                      <w:sz w:val="21"/>
                      <w:szCs w:val="21"/>
                    </w:rPr>
                    <w:t>现有污水处理站</w:t>
                  </w:r>
                </w:p>
              </w:tc>
            </w:tr>
          </w:tbl>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4" w:firstLineChars="200"/>
              <w:textAlignment w:val="auto"/>
              <w:rPr>
                <w:rFonts w:ascii="Times New Roman" w:hAnsi="Times New Roman" w:eastAsia="宋体"/>
                <w:b/>
                <w:color w:val="auto"/>
                <w:sz w:val="24"/>
                <w:szCs w:val="24"/>
              </w:rPr>
            </w:pPr>
            <w:r>
              <w:rPr>
                <w:rFonts w:ascii="Times New Roman" w:hAnsi="Times New Roman" w:eastAsia="宋体"/>
                <w:b/>
                <w:color w:val="auto"/>
                <w:sz w:val="24"/>
                <w:szCs w:val="24"/>
              </w:rPr>
              <w:t>②生活污水</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jc w:val="left"/>
              <w:textAlignment w:val="auto"/>
              <w:rPr>
                <w:rFonts w:ascii="Times New Roman" w:hAnsi="Times New Roman" w:eastAsia="宋体"/>
                <w:b/>
                <w:color w:val="auto"/>
                <w:sz w:val="24"/>
                <w:szCs w:val="24"/>
                <w:u w:val="none"/>
              </w:rPr>
            </w:pPr>
            <w:r>
              <w:rPr>
                <w:rFonts w:ascii="Times New Roman" w:hAnsi="Times New Roman" w:eastAsia="宋体"/>
                <w:bCs/>
                <w:color w:val="auto"/>
                <w:sz w:val="24"/>
                <w:szCs w:val="24"/>
              </w:rPr>
              <w:t>项目产生的食堂废水经3m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隔油池隔油处理后，与生活污水一同进入63m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预处理池，经预处理池处理后排入园区污水管网，</w:t>
            </w:r>
            <w:r>
              <w:rPr>
                <w:rFonts w:hint="eastAsia" w:ascii="Times New Roman" w:hAnsi="Times New Roman" w:eastAsia="宋体"/>
                <w:bCs/>
                <w:color w:val="auto"/>
                <w:sz w:val="24"/>
                <w:szCs w:val="24"/>
                <w:lang w:val="en-US" w:eastAsia="zh-CN"/>
              </w:rPr>
              <w:t>进入犍为县污水处理厂</w:t>
            </w:r>
            <w:r>
              <w:rPr>
                <w:rFonts w:ascii="Times New Roman" w:hAnsi="Times New Roman" w:eastAsia="宋体"/>
                <w:bCs/>
                <w:color w:val="auto"/>
                <w:sz w:val="24"/>
                <w:szCs w:val="24"/>
              </w:rPr>
              <w:t>。</w:t>
            </w:r>
          </w:p>
          <w:p>
            <w:pPr>
              <w:pStyle w:val="19"/>
              <w:ind w:left="0" w:leftChars="0"/>
              <w:jc w:val="center"/>
              <w:rPr>
                <w:rFonts w:ascii="Times New Roman" w:hAnsi="Times New Roman"/>
                <w:color w:val="auto"/>
                <w:sz w:val="21"/>
                <w:szCs w:val="21"/>
              </w:rPr>
            </w:pPr>
            <w:r>
              <w:rPr>
                <w:rFonts w:ascii="Times New Roman" w:hAnsi="Times New Roman"/>
                <w:color w:val="auto"/>
                <w:sz w:val="21"/>
                <w:szCs w:val="21"/>
              </w:rPr>
              <w:object>
                <v:shape id="_x0000_i1031" o:spt="75" type="#_x0000_t75" style="height:261pt;width:409.5pt;" o:ole="t" filled="f" o:preferrelative="t" stroked="f" coordsize="21600,21600">
                  <v:path/>
                  <v:fill on="f" focussize="0,0"/>
                  <v:stroke on="f"/>
                  <v:imagedata r:id="rId39" o:title=""/>
                  <o:lock v:ext="edit" aspectratio="f"/>
                  <w10:wrap type="none"/>
                  <w10:anchorlock/>
                </v:shape>
                <o:OLEObject Type="Embed" ProgID="Visio.Drawing.11" ShapeID="_x0000_i1031" DrawAspect="Content" ObjectID="_1468075731" r:id="rId38">
                  <o:LockedField>false</o:LockedField>
                </o:OLEObject>
              </w:object>
            </w:r>
          </w:p>
          <w:p>
            <w:pPr>
              <w:spacing w:line="360" w:lineRule="auto"/>
              <w:ind w:firstLine="480"/>
              <w:jc w:val="center"/>
              <w:rPr>
                <w:rFonts w:hint="eastAsia" w:ascii="Times New Roman" w:hAnsi="Times New Roman" w:eastAsia="宋体"/>
                <w:bCs/>
                <w:color w:val="auto"/>
                <w:sz w:val="21"/>
                <w:szCs w:val="21"/>
              </w:rPr>
            </w:pPr>
            <w:r>
              <w:rPr>
                <w:b/>
                <w:color w:val="auto"/>
                <w:sz w:val="21"/>
                <w:szCs w:val="21"/>
              </w:rPr>
              <w:t>图</w:t>
            </w:r>
            <w:r>
              <w:rPr>
                <w:rFonts w:hint="eastAsia"/>
                <w:b/>
                <w:color w:val="auto"/>
                <w:sz w:val="21"/>
                <w:szCs w:val="21"/>
                <w:lang w:val="en-US" w:eastAsia="zh-CN"/>
              </w:rPr>
              <w:t>2-7</w:t>
            </w:r>
            <w:r>
              <w:rPr>
                <w:rFonts w:hint="eastAsia"/>
                <w:b/>
                <w:color w:val="auto"/>
                <w:sz w:val="21"/>
                <w:szCs w:val="21"/>
              </w:rPr>
              <w:t>本项目</w:t>
            </w:r>
            <w:r>
              <w:rPr>
                <w:b/>
                <w:color w:val="auto"/>
                <w:sz w:val="21"/>
                <w:szCs w:val="21"/>
              </w:rPr>
              <w:t>水平衡图   m</w:t>
            </w:r>
            <w:r>
              <w:rPr>
                <w:b/>
                <w:color w:val="auto"/>
                <w:sz w:val="21"/>
                <w:szCs w:val="21"/>
                <w:vertAlign w:val="superscript"/>
              </w:rPr>
              <w:t>3</w:t>
            </w:r>
            <w:r>
              <w:rPr>
                <w:b/>
                <w:color w:val="auto"/>
                <w:sz w:val="21"/>
                <w:szCs w:val="21"/>
              </w:rPr>
              <w:t>/d</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textAlignment w:val="auto"/>
              <w:rPr>
                <w:rFonts w:ascii="Times New Roman" w:hAnsi="Times New Roman" w:eastAsia="宋体"/>
                <w:bCs/>
                <w:color w:val="auto"/>
                <w:sz w:val="24"/>
                <w:szCs w:val="24"/>
              </w:rPr>
            </w:pPr>
          </w:p>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eastAsia" w:ascii="Times New Roman" w:cs="Times New Roman"/>
                <w:b/>
                <w:bCs/>
                <w:color w:val="auto"/>
                <w:sz w:val="21"/>
                <w:szCs w:val="21"/>
                <w:lang w:val="en-US" w:eastAsia="zh-CN"/>
              </w:rPr>
              <w:t>2-13  原</w:t>
            </w:r>
            <w:r>
              <w:rPr>
                <w:rFonts w:hint="default" w:ascii="Times New Roman" w:hAnsi="Times New Roman" w:cs="Times New Roman"/>
                <w:b/>
                <w:bCs/>
                <w:color w:val="auto"/>
                <w:sz w:val="21"/>
                <w:szCs w:val="21"/>
                <w:lang w:val="en-US" w:eastAsia="zh-CN"/>
              </w:rPr>
              <w:t>项目废水产排情况表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424"/>
              <w:gridCol w:w="1239"/>
              <w:gridCol w:w="1323"/>
              <w:gridCol w:w="1627"/>
              <w:gridCol w:w="20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pct"/>
                  <w:tcBorders>
                    <w:tl2br w:val="nil"/>
                    <w:tr2bl w:val="nil"/>
                  </w:tcBorders>
                  <w:shd w:val="clear" w:color="auto" w:fill="DCE6F2"/>
                  <w:noWrap w:val="0"/>
                  <w:vAlign w:val="center"/>
                </w:tcPr>
                <w:p>
                  <w:pPr>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848" w:type="pct"/>
                  <w:tcBorders>
                    <w:tl2br w:val="nil"/>
                    <w:tr2bl w:val="nil"/>
                  </w:tcBorders>
                  <w:shd w:val="clear" w:color="auto" w:fill="DCE6F2"/>
                  <w:noWrap w:val="0"/>
                  <w:vAlign w:val="center"/>
                </w:tcPr>
                <w:p>
                  <w:pPr>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类型</w:t>
                  </w:r>
                </w:p>
              </w:tc>
              <w:tc>
                <w:tcPr>
                  <w:tcW w:w="738" w:type="pct"/>
                  <w:tcBorders>
                    <w:tl2br w:val="nil"/>
                    <w:tr2bl w:val="nil"/>
                  </w:tcBorders>
                  <w:shd w:val="clear" w:color="auto" w:fill="DCE6F2"/>
                  <w:noWrap w:val="0"/>
                  <w:vAlign w:val="center"/>
                </w:tcPr>
                <w:p>
                  <w:pPr>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用水量</w:t>
                  </w:r>
                </w:p>
              </w:tc>
              <w:tc>
                <w:tcPr>
                  <w:tcW w:w="788" w:type="pct"/>
                  <w:tcBorders>
                    <w:tl2br w:val="nil"/>
                    <w:tr2bl w:val="nil"/>
                  </w:tcBorders>
                  <w:shd w:val="clear" w:color="auto" w:fill="DCE6F2"/>
                  <w:noWrap w:val="0"/>
                  <w:vAlign w:val="center"/>
                </w:tcPr>
                <w:p>
                  <w:pPr>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排放量</w:t>
                  </w:r>
                </w:p>
              </w:tc>
              <w:tc>
                <w:tcPr>
                  <w:tcW w:w="969" w:type="pct"/>
                  <w:tcBorders>
                    <w:tl2br w:val="nil"/>
                    <w:tr2bl w:val="nil"/>
                  </w:tcBorders>
                  <w:shd w:val="clear" w:color="auto" w:fill="DCE6F2"/>
                  <w:noWrap w:val="0"/>
                  <w:vAlign w:val="center"/>
                </w:tcPr>
                <w:p>
                  <w:pPr>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预处理</w:t>
                  </w:r>
                </w:p>
              </w:tc>
              <w:tc>
                <w:tcPr>
                  <w:tcW w:w="1202" w:type="pct"/>
                  <w:tcBorders>
                    <w:tl2br w:val="nil"/>
                    <w:tr2bl w:val="nil"/>
                  </w:tcBorders>
                  <w:shd w:val="clear" w:color="auto" w:fill="DCE6F2"/>
                  <w:noWrap w:val="0"/>
                  <w:vAlign w:val="center"/>
                </w:tcPr>
                <w:p>
                  <w:pPr>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848"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生活用水</w:t>
                  </w:r>
                </w:p>
              </w:tc>
              <w:tc>
                <w:tcPr>
                  <w:tcW w:w="738"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6</w:t>
                  </w:r>
                  <w:r>
                    <w:rPr>
                      <w:rFonts w:hint="default"/>
                      <w:color w:val="auto"/>
                      <w:sz w:val="21"/>
                      <w:szCs w:val="21"/>
                    </w:rPr>
                    <w:t>m</w:t>
                  </w:r>
                  <w:r>
                    <w:rPr>
                      <w:rFonts w:hint="default"/>
                      <w:color w:val="auto"/>
                      <w:sz w:val="21"/>
                      <w:szCs w:val="21"/>
                      <w:vertAlign w:val="superscript"/>
                    </w:rPr>
                    <w:t>3</w:t>
                  </w:r>
                  <w:r>
                    <w:rPr>
                      <w:rFonts w:hint="default"/>
                      <w:color w:val="auto"/>
                      <w:sz w:val="21"/>
                      <w:szCs w:val="21"/>
                    </w:rPr>
                    <w:t>/d</w:t>
                  </w:r>
                </w:p>
              </w:tc>
              <w:tc>
                <w:tcPr>
                  <w:tcW w:w="788"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4.8</w:t>
                  </w:r>
                  <w:r>
                    <w:rPr>
                      <w:rFonts w:hint="default"/>
                      <w:color w:val="auto"/>
                      <w:sz w:val="21"/>
                      <w:szCs w:val="21"/>
                    </w:rPr>
                    <w:t>m</w:t>
                  </w:r>
                  <w:r>
                    <w:rPr>
                      <w:rFonts w:hint="default"/>
                      <w:color w:val="auto"/>
                      <w:sz w:val="21"/>
                      <w:szCs w:val="21"/>
                      <w:vertAlign w:val="superscript"/>
                    </w:rPr>
                    <w:t>3</w:t>
                  </w:r>
                  <w:r>
                    <w:rPr>
                      <w:rFonts w:hint="default"/>
                      <w:color w:val="auto"/>
                      <w:sz w:val="21"/>
                      <w:szCs w:val="21"/>
                    </w:rPr>
                    <w:t>/d</w:t>
                  </w:r>
                </w:p>
              </w:tc>
              <w:tc>
                <w:tcPr>
                  <w:tcW w:w="969" w:type="pct"/>
                  <w:tcBorders>
                    <w:tl2br w:val="nil"/>
                    <w:tr2bl w:val="nil"/>
                  </w:tcBorders>
                  <w:noWrap w:val="0"/>
                  <w:vAlign w:val="center"/>
                </w:tcPr>
                <w:p>
                  <w:pPr>
                    <w:jc w:val="center"/>
                    <w:rPr>
                      <w:rFonts w:hint="eastAsia"/>
                      <w:color w:val="auto"/>
                      <w:sz w:val="21"/>
                      <w:szCs w:val="21"/>
                      <w:vertAlign w:val="baseline"/>
                      <w:lang w:val="en-US" w:eastAsia="zh-CN"/>
                    </w:rPr>
                  </w:pPr>
                  <w:r>
                    <w:rPr>
                      <w:rFonts w:hint="eastAsia"/>
                      <w:color w:val="auto"/>
                      <w:sz w:val="21"/>
                      <w:szCs w:val="21"/>
                      <w:vertAlign w:val="baseline"/>
                      <w:lang w:val="en-US" w:eastAsia="zh-CN"/>
                    </w:rPr>
                    <w:t>预处理池</w:t>
                  </w:r>
                </w:p>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隔油池</w:t>
                  </w:r>
                </w:p>
              </w:tc>
              <w:tc>
                <w:tcPr>
                  <w:tcW w:w="1202" w:type="pct"/>
                  <w:tcBorders>
                    <w:tl2br w:val="nil"/>
                    <w:tr2bl w:val="nil"/>
                  </w:tcBorders>
                  <w:noWrap w:val="0"/>
                  <w:vAlign w:val="center"/>
                </w:tcPr>
                <w:p>
                  <w:pPr>
                    <w:jc w:val="both"/>
                    <w:rPr>
                      <w:rFonts w:hint="eastAsia"/>
                      <w:color w:val="auto"/>
                      <w:sz w:val="21"/>
                      <w:szCs w:val="21"/>
                      <w:vertAlign w:val="baseline"/>
                      <w:lang w:val="en-US" w:eastAsia="zh-CN"/>
                    </w:rPr>
                  </w:pPr>
                  <w:r>
                    <w:rPr>
                      <w:rFonts w:ascii="宋体" w:hAnsi="宋体" w:eastAsia="宋体" w:cs="宋体"/>
                      <w:color w:val="auto"/>
                      <w:spacing w:val="-8"/>
                      <w:sz w:val="21"/>
                      <w:szCs w:val="21"/>
                    </w:rPr>
                    <w:t>经园区管网排入</w:t>
                  </w:r>
                  <w:r>
                    <w:rPr>
                      <w:rFonts w:hint="eastAsia" w:ascii="宋体" w:hAnsi="宋体" w:eastAsia="宋体" w:cs="宋体"/>
                      <w:color w:val="auto"/>
                      <w:spacing w:val="-8"/>
                      <w:sz w:val="21"/>
                      <w:szCs w:val="21"/>
                      <w:lang w:val="en-US" w:eastAsia="zh-CN"/>
                    </w:rPr>
                    <w:t>犍为县污水处理厂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848"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生产用水</w:t>
                  </w:r>
                </w:p>
              </w:tc>
              <w:tc>
                <w:tcPr>
                  <w:tcW w:w="738"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18.19</w:t>
                  </w:r>
                  <w:r>
                    <w:rPr>
                      <w:rFonts w:hint="default"/>
                      <w:color w:val="auto"/>
                      <w:sz w:val="21"/>
                      <w:szCs w:val="21"/>
                    </w:rPr>
                    <w:t>m</w:t>
                  </w:r>
                  <w:r>
                    <w:rPr>
                      <w:rFonts w:hint="default"/>
                      <w:color w:val="auto"/>
                      <w:sz w:val="21"/>
                      <w:szCs w:val="21"/>
                      <w:vertAlign w:val="superscript"/>
                    </w:rPr>
                    <w:t>3</w:t>
                  </w:r>
                  <w:r>
                    <w:rPr>
                      <w:rFonts w:hint="default"/>
                      <w:color w:val="auto"/>
                      <w:sz w:val="21"/>
                      <w:szCs w:val="21"/>
                    </w:rPr>
                    <w:t>/d</w:t>
                  </w:r>
                </w:p>
              </w:tc>
              <w:tc>
                <w:tcPr>
                  <w:tcW w:w="788"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w:t>
                  </w:r>
                </w:p>
              </w:tc>
              <w:tc>
                <w:tcPr>
                  <w:tcW w:w="969"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污水处理站处理后循环使用</w:t>
                  </w:r>
                </w:p>
              </w:tc>
              <w:tc>
                <w:tcPr>
                  <w:tcW w:w="1202"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1"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848"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合计</w:t>
                  </w:r>
                </w:p>
              </w:tc>
              <w:tc>
                <w:tcPr>
                  <w:tcW w:w="738"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24.19</w:t>
                  </w:r>
                  <w:r>
                    <w:rPr>
                      <w:rFonts w:hint="default"/>
                      <w:color w:val="auto"/>
                      <w:sz w:val="21"/>
                      <w:szCs w:val="21"/>
                    </w:rPr>
                    <w:t>m</w:t>
                  </w:r>
                  <w:r>
                    <w:rPr>
                      <w:rFonts w:hint="default"/>
                      <w:color w:val="auto"/>
                      <w:sz w:val="21"/>
                      <w:szCs w:val="21"/>
                      <w:vertAlign w:val="superscript"/>
                    </w:rPr>
                    <w:t>3</w:t>
                  </w:r>
                  <w:r>
                    <w:rPr>
                      <w:rFonts w:hint="default"/>
                      <w:color w:val="auto"/>
                      <w:sz w:val="21"/>
                      <w:szCs w:val="21"/>
                    </w:rPr>
                    <w:t>/d</w:t>
                  </w:r>
                </w:p>
              </w:tc>
              <w:tc>
                <w:tcPr>
                  <w:tcW w:w="788" w:type="pct"/>
                  <w:tcBorders>
                    <w:tl2br w:val="nil"/>
                    <w:tr2bl w:val="nil"/>
                  </w:tcBorders>
                  <w:noWrap w:val="0"/>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4.8</w:t>
                  </w:r>
                  <w:r>
                    <w:rPr>
                      <w:rFonts w:hint="default"/>
                      <w:color w:val="auto"/>
                      <w:sz w:val="21"/>
                      <w:szCs w:val="21"/>
                    </w:rPr>
                    <w:t>m</w:t>
                  </w:r>
                  <w:r>
                    <w:rPr>
                      <w:rFonts w:hint="default"/>
                      <w:color w:val="auto"/>
                      <w:sz w:val="21"/>
                      <w:szCs w:val="21"/>
                      <w:vertAlign w:val="superscript"/>
                    </w:rPr>
                    <w:t>3</w:t>
                  </w:r>
                  <w:r>
                    <w:rPr>
                      <w:rFonts w:hint="default"/>
                      <w:color w:val="auto"/>
                      <w:sz w:val="21"/>
                      <w:szCs w:val="21"/>
                    </w:rPr>
                    <w:t>/d</w:t>
                  </w:r>
                </w:p>
              </w:tc>
              <w:tc>
                <w:tcPr>
                  <w:tcW w:w="969" w:type="pct"/>
                  <w:tcBorders>
                    <w:tl2br w:val="nil"/>
                    <w:tr2bl w:val="nil"/>
                  </w:tcBorders>
                  <w:noWrap w:val="0"/>
                  <w:vAlign w:val="center"/>
                </w:tcPr>
                <w:p>
                  <w:pPr>
                    <w:jc w:val="center"/>
                    <w:rPr>
                      <w:rFonts w:hint="default"/>
                      <w:color w:val="auto"/>
                      <w:sz w:val="21"/>
                      <w:szCs w:val="21"/>
                      <w:vertAlign w:val="baseline"/>
                      <w:lang w:val="en-US" w:eastAsia="zh-CN"/>
                    </w:rPr>
                  </w:pPr>
                </w:p>
              </w:tc>
              <w:tc>
                <w:tcPr>
                  <w:tcW w:w="1202" w:type="pct"/>
                  <w:tcBorders>
                    <w:tl2br w:val="nil"/>
                    <w:tr2bl w:val="nil"/>
                  </w:tcBorders>
                  <w:noWrap w:val="0"/>
                  <w:vAlign w:val="center"/>
                </w:tcPr>
                <w:p>
                  <w:pPr>
                    <w:jc w:val="center"/>
                    <w:rPr>
                      <w:rFonts w:hint="default"/>
                      <w:color w:val="auto"/>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jc w:val="center"/>
              <w:textAlignment w:val="auto"/>
              <w:rPr>
                <w:b/>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根据</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排放源统计调查产排污核算方法和系数手册</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lang w:val="en-US" w:eastAsia="zh-CN"/>
              </w:rPr>
              <w:t>及《</w:t>
            </w:r>
            <w:r>
              <w:rPr>
                <w:rFonts w:hint="default" w:ascii="Times New Roman" w:hAnsi="Times New Roman" w:eastAsia="宋体" w:cs="Times New Roman"/>
                <w:b w:val="0"/>
                <w:bCs/>
                <w:color w:val="auto"/>
                <w:sz w:val="24"/>
                <w:szCs w:val="24"/>
              </w:rPr>
              <w:t>乐山图南再生资源回收利用有限公司</w:t>
            </w:r>
            <w:r>
              <w:rPr>
                <w:rFonts w:hint="default" w:ascii="Times New Roman" w:hAnsi="Times New Roman" w:cs="Times New Roman"/>
                <w:b w:val="0"/>
                <w:bCs/>
                <w:color w:val="auto"/>
                <w:sz w:val="24"/>
                <w:szCs w:val="24"/>
                <w:lang w:val="en-US" w:eastAsia="zh-CN"/>
              </w:rPr>
              <w:t>废旧塑料加工生产线技改项目竣工环境保护验收监测报告》</w:t>
            </w:r>
            <w:r>
              <w:rPr>
                <w:rFonts w:hint="eastAsia" w:ascii="Times New Roman" w:hAnsi="Times New Roman" w:cs="Times New Roman"/>
                <w:b w:val="0"/>
                <w:bCs/>
                <w:color w:val="auto"/>
                <w:sz w:val="24"/>
                <w:szCs w:val="24"/>
                <w:lang w:val="en-US" w:eastAsia="zh-CN"/>
              </w:rPr>
              <w:t>可知，原项目废水产生及排放情况，如下：</w:t>
            </w:r>
          </w:p>
          <w:p>
            <w:pPr>
              <w:keepNext w:val="0"/>
              <w:keepLines w:val="0"/>
              <w:pageBreakBefore w:val="0"/>
              <w:widowControl w:val="0"/>
              <w:kinsoku/>
              <w:wordWrap/>
              <w:overflowPunct/>
              <w:topLinePunct w:val="0"/>
              <w:autoSpaceDE/>
              <w:autoSpaceDN/>
              <w:bidi w:val="0"/>
              <w:adjustRightInd/>
              <w:snapToGrid/>
              <w:jc w:val="center"/>
              <w:textAlignment w:val="auto"/>
              <w:rPr>
                <w:b/>
                <w:color w:val="auto"/>
              </w:rPr>
            </w:pPr>
            <w:r>
              <w:rPr>
                <w:b/>
                <w:color w:val="auto"/>
              </w:rPr>
              <w:t xml:space="preserve"> </w:t>
            </w:r>
            <w:r>
              <w:rPr>
                <w:rFonts w:hint="eastAsia"/>
                <w:b/>
                <w:color w:val="auto"/>
                <w:lang w:val="en-US" w:eastAsia="zh-CN"/>
              </w:rPr>
              <w:t xml:space="preserve">2-14 </w:t>
            </w:r>
            <w:r>
              <w:rPr>
                <w:b/>
                <w:color w:val="auto"/>
              </w:rPr>
              <w:t xml:space="preserve"> </w:t>
            </w:r>
            <w:r>
              <w:rPr>
                <w:rFonts w:hint="eastAsia"/>
                <w:b/>
                <w:color w:val="auto"/>
                <w:lang w:val="en-US" w:eastAsia="zh-CN"/>
              </w:rPr>
              <w:t>原项目废水污染物</w:t>
            </w:r>
            <w:r>
              <w:rPr>
                <w:b/>
                <w:color w:val="auto"/>
              </w:rPr>
              <w:t>产生和排放情况一览表</w:t>
            </w:r>
          </w:p>
          <w:tbl>
            <w:tblPr>
              <w:tblStyle w:val="30"/>
              <w:tblW w:w="504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410"/>
              <w:gridCol w:w="1214"/>
              <w:gridCol w:w="1035"/>
              <w:gridCol w:w="871"/>
              <w:gridCol w:w="1116"/>
              <w:gridCol w:w="1035"/>
              <w:gridCol w:w="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83" w:type="pct"/>
                  <w:vMerge w:val="restart"/>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污染物</w:t>
                  </w:r>
                </w:p>
              </w:tc>
              <w:tc>
                <w:tcPr>
                  <w:tcW w:w="879" w:type="pct"/>
                  <w:vMerge w:val="restart"/>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排放量</w:t>
                  </w:r>
                </w:p>
              </w:tc>
              <w:tc>
                <w:tcPr>
                  <w:tcW w:w="763" w:type="pct"/>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产生浓度</w:t>
                  </w:r>
                </w:p>
              </w:tc>
              <w:tc>
                <w:tcPr>
                  <w:tcW w:w="1066" w:type="pct"/>
                  <w:gridSpan w:val="2"/>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产生量</w:t>
                  </w:r>
                </w:p>
              </w:tc>
              <w:tc>
                <w:tcPr>
                  <w:tcW w:w="657" w:type="pct"/>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排放浓度</w:t>
                  </w:r>
                </w:p>
              </w:tc>
              <w:tc>
                <w:tcPr>
                  <w:tcW w:w="1049" w:type="pct"/>
                  <w:gridSpan w:val="2"/>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3" w:type="pct"/>
                  <w:vMerge w:val="continue"/>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p>
              </w:tc>
              <w:tc>
                <w:tcPr>
                  <w:tcW w:w="879" w:type="pct"/>
                  <w:vMerge w:val="continue"/>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p>
              </w:tc>
              <w:tc>
                <w:tcPr>
                  <w:tcW w:w="763" w:type="pct"/>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（mg/L）</w:t>
                  </w:r>
                </w:p>
              </w:tc>
              <w:tc>
                <w:tcPr>
                  <w:tcW w:w="569" w:type="pct"/>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（kg/d）</w:t>
                  </w:r>
                </w:p>
              </w:tc>
              <w:tc>
                <w:tcPr>
                  <w:tcW w:w="496" w:type="pct"/>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（t/a）</w:t>
                  </w:r>
                </w:p>
              </w:tc>
              <w:tc>
                <w:tcPr>
                  <w:tcW w:w="657" w:type="pct"/>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（mg/L）</w:t>
                  </w:r>
                </w:p>
              </w:tc>
              <w:tc>
                <w:tcPr>
                  <w:tcW w:w="573" w:type="pct"/>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（kg/d）</w:t>
                  </w:r>
                </w:p>
              </w:tc>
              <w:tc>
                <w:tcPr>
                  <w:tcW w:w="476" w:type="pct"/>
                  <w:tcBorders>
                    <w:tl2br w:val="nil"/>
                    <w:tr2bl w:val="nil"/>
                  </w:tcBorders>
                  <w:shd w:val="clear" w:color="auto" w:fill="DCE6F2"/>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b/>
                      <w:bCs/>
                      <w:color w:val="auto"/>
                      <w:kern w:val="0"/>
                      <w:sz w:val="21"/>
                      <w:szCs w:val="21"/>
                    </w:rPr>
                  </w:pPr>
                  <w:r>
                    <w:rPr>
                      <w:b/>
                      <w:bCs/>
                      <w:color w:val="auto"/>
                      <w:kern w:val="0"/>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color w:val="auto"/>
                      <w:kern w:val="0"/>
                      <w:sz w:val="21"/>
                      <w:szCs w:val="21"/>
                    </w:rPr>
                  </w:pPr>
                  <w:r>
                    <w:rPr>
                      <w:color w:val="auto"/>
                      <w:kern w:val="0"/>
                      <w:sz w:val="21"/>
                      <w:szCs w:val="21"/>
                    </w:rPr>
                    <w:t>CODcr</w:t>
                  </w:r>
                </w:p>
              </w:tc>
              <w:tc>
                <w:tcPr>
                  <w:tcW w:w="8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4.8</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p>
                <w:p>
                  <w:pPr>
                    <w:pStyle w:val="29"/>
                    <w:keepNext w:val="0"/>
                    <w:keepLines w:val="0"/>
                    <w:pageBreakBefore w:val="0"/>
                    <w:widowControl w:val="0"/>
                    <w:tabs>
                      <w:tab w:val="left" w:pos="420"/>
                      <w:tab w:val="left" w:pos="870"/>
                      <w:tab w:val="left" w:pos="3150"/>
                    </w:tabs>
                    <w:kinsoku/>
                    <w:wordWrap/>
                    <w:overflowPunct/>
                    <w:topLinePunct w:val="0"/>
                    <w:autoSpaceDE/>
                    <w:autoSpaceDN/>
                    <w:bidi w:val="0"/>
                    <w:adjustRightInd/>
                    <w:snapToGrid/>
                    <w:spacing w:after="0" w:line="240" w:lineRule="auto"/>
                    <w:ind w:left="0" w:leftChars="0" w:firstLine="0" w:firstLineChars="0"/>
                    <w:jc w:val="center"/>
                    <w:textAlignment w:val="auto"/>
                    <w:rPr>
                      <w:color w:val="auto"/>
                    </w:rPr>
                  </w:pPr>
                  <w:r>
                    <w:rPr>
                      <w:rFonts w:hint="eastAsia" w:ascii="Times New Roman" w:hAnsi="Times New Roman" w:eastAsia="宋体" w:cs="Times New Roman"/>
                      <w:i w:val="0"/>
                      <w:iCs w:val="0"/>
                      <w:color w:val="auto"/>
                      <w:kern w:val="0"/>
                      <w:sz w:val="21"/>
                      <w:szCs w:val="21"/>
                      <w:u w:val="none"/>
                      <w:lang w:val="en-US" w:eastAsia="zh-CN" w:bidi="ar"/>
                    </w:rPr>
                    <w:t>1440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a</w:t>
                  </w:r>
                </w:p>
              </w:tc>
              <w:tc>
                <w:tcPr>
                  <w:tcW w:w="76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328</w:t>
                  </w:r>
                </w:p>
              </w:tc>
              <w:tc>
                <w:tcPr>
                  <w:tcW w:w="9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1.57</w:t>
                  </w:r>
                </w:p>
              </w:tc>
              <w:tc>
                <w:tcPr>
                  <w:tcW w:w="8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0.47</w:t>
                  </w:r>
                </w:p>
              </w:tc>
              <w:tc>
                <w:tcPr>
                  <w:tcW w:w="6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298</w:t>
                  </w:r>
                </w:p>
              </w:tc>
              <w:tc>
                <w:tcPr>
                  <w:tcW w:w="9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1.43</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color w:val="auto"/>
                      <w:kern w:val="0"/>
                      <w:sz w:val="21"/>
                      <w:szCs w:val="21"/>
                    </w:rPr>
                  </w:pPr>
                  <w:r>
                    <w:rPr>
                      <w:color w:val="auto"/>
                      <w:kern w:val="0"/>
                      <w:sz w:val="21"/>
                      <w:szCs w:val="21"/>
                    </w:rPr>
                    <w:t>氨氮</w:t>
                  </w:r>
                </w:p>
              </w:tc>
              <w:tc>
                <w:tcPr>
                  <w:tcW w:w="8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ind w:left="0" w:leftChars="0" w:firstLineChars="0"/>
                    <w:jc w:val="center"/>
                    <w:textAlignment w:val="auto"/>
                    <w:rPr>
                      <w:color w:val="auto"/>
                      <w:kern w:val="0"/>
                      <w:sz w:val="21"/>
                      <w:szCs w:val="21"/>
                    </w:rPr>
                  </w:pPr>
                </w:p>
              </w:tc>
              <w:tc>
                <w:tcPr>
                  <w:tcW w:w="76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33.7</w:t>
                  </w:r>
                </w:p>
              </w:tc>
              <w:tc>
                <w:tcPr>
                  <w:tcW w:w="9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8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6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0" w:leftChars="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13.3</w:t>
                  </w:r>
                </w:p>
              </w:tc>
              <w:tc>
                <w:tcPr>
                  <w:tcW w:w="9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r>
          </w:tbl>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textAlignment w:val="auto"/>
              <w:rPr>
                <w:rFonts w:hint="eastAsia" w:ascii="Times New Roman" w:hAnsi="Times New Roman" w:eastAsia="宋体" w:cs="宋体"/>
                <w:b w:val="0"/>
                <w:bCs/>
                <w:color w:val="auto"/>
                <w:sz w:val="24"/>
                <w:szCs w:val="24"/>
                <w:lang w:val="en-US" w:eastAsia="zh-CN"/>
              </w:rPr>
            </w:pPr>
            <w:r>
              <w:rPr>
                <w:rFonts w:hint="eastAsia" w:ascii="Times New Roman" w:hAnsi="Times New Roman" w:eastAsia="宋体"/>
                <w:b w:val="0"/>
                <w:bCs/>
                <w:color w:val="auto"/>
                <w:sz w:val="24"/>
                <w:szCs w:val="24"/>
                <w:lang w:val="en-US" w:eastAsia="zh-CN"/>
              </w:rPr>
              <w:t>根据企业提供2021年12月17日检测报告（川中正源（2021）第0269号）可知，项目废水能够满足《污水综合排放标准》（GB 8978-1996）表4 中三级标准限值要求。</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4" w:firstLineChars="200"/>
              <w:textAlignment w:val="auto"/>
              <w:rPr>
                <w:rFonts w:ascii="Times New Roman" w:hAnsi="Times New Roman" w:eastAsia="宋体"/>
                <w:b/>
                <w:color w:val="auto"/>
                <w:sz w:val="24"/>
                <w:szCs w:val="24"/>
              </w:rPr>
            </w:pPr>
            <w:r>
              <w:rPr>
                <w:rFonts w:hint="eastAsia" w:ascii="Times New Roman" w:hAnsi="Times New Roman" w:eastAsia="宋体"/>
                <w:b/>
                <w:color w:val="auto"/>
                <w:sz w:val="24"/>
                <w:szCs w:val="24"/>
                <w:lang w:eastAsia="zh-CN"/>
              </w:rPr>
              <w:t>（</w:t>
            </w:r>
            <w:r>
              <w:rPr>
                <w:rFonts w:hint="eastAsia" w:ascii="Times New Roman" w:hAnsi="Times New Roman" w:eastAsia="宋体"/>
                <w:b/>
                <w:color w:val="auto"/>
                <w:sz w:val="24"/>
                <w:szCs w:val="24"/>
                <w:lang w:val="en-US" w:eastAsia="zh-CN"/>
              </w:rPr>
              <w:t>3</w:t>
            </w:r>
            <w:r>
              <w:rPr>
                <w:rFonts w:hint="eastAsia" w:ascii="Times New Roman" w:hAnsi="Times New Roman" w:eastAsia="宋体"/>
                <w:b/>
                <w:color w:val="auto"/>
                <w:sz w:val="24"/>
                <w:szCs w:val="24"/>
                <w:lang w:eastAsia="zh-CN"/>
              </w:rPr>
              <w:t>）</w:t>
            </w:r>
            <w:r>
              <w:rPr>
                <w:rFonts w:ascii="Times New Roman" w:hAnsi="Times New Roman" w:eastAsia="宋体"/>
                <w:b/>
                <w:color w:val="auto"/>
                <w:sz w:val="24"/>
                <w:szCs w:val="24"/>
              </w:rPr>
              <w:t>固废产生及治理</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textAlignment w:val="auto"/>
              <w:rPr>
                <w:rFonts w:ascii="Times New Roman" w:hAnsi="Times New Roman" w:eastAsia="宋体"/>
                <w:bCs/>
                <w:color w:val="auto"/>
                <w:sz w:val="24"/>
                <w:szCs w:val="24"/>
              </w:rPr>
            </w:pPr>
            <w:r>
              <w:rPr>
                <w:rFonts w:ascii="Times New Roman" w:hAnsi="Times New Roman" w:eastAsia="宋体"/>
                <w:bCs/>
                <w:color w:val="auto"/>
                <w:sz w:val="24"/>
                <w:szCs w:val="24"/>
              </w:rPr>
              <w:t>固体废弃物的产生及处置情况见下表：</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firstLineChars="0"/>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表</w:t>
            </w:r>
            <w:r>
              <w:rPr>
                <w:rFonts w:hint="eastAsia" w:ascii="Times New Roman" w:hAnsi="Times New Roman" w:eastAsia="宋体"/>
                <w:b/>
                <w:color w:val="auto"/>
                <w:sz w:val="21"/>
                <w:szCs w:val="21"/>
                <w:lang w:val="en-US" w:eastAsia="zh-CN"/>
              </w:rPr>
              <w:t>2-15</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lang w:val="en-US" w:eastAsia="zh-CN"/>
              </w:rPr>
              <w:t>原项目</w:t>
            </w:r>
            <w:r>
              <w:rPr>
                <w:rFonts w:ascii="Times New Roman" w:hAnsi="Times New Roman" w:eastAsia="宋体"/>
                <w:b/>
                <w:color w:val="auto"/>
                <w:sz w:val="21"/>
                <w:szCs w:val="21"/>
              </w:rPr>
              <w:t>固废产生及排放状况一览表</w:t>
            </w:r>
          </w:p>
          <w:tbl>
            <w:tblPr>
              <w:tblStyle w:val="30"/>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
              <w:gridCol w:w="744"/>
              <w:gridCol w:w="1266"/>
              <w:gridCol w:w="3"/>
              <w:gridCol w:w="1269"/>
              <w:gridCol w:w="501"/>
              <w:gridCol w:w="566"/>
              <w:gridCol w:w="1387"/>
              <w:gridCol w:w="2644"/>
              <w:gridCol w:w="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trHeight w:val="367" w:hRule="atLeast"/>
                <w:jc w:val="center"/>
              </w:trPr>
              <w:tc>
                <w:tcPr>
                  <w:tcW w:w="436"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序号</w:t>
                  </w:r>
                </w:p>
              </w:tc>
              <w:tc>
                <w:tcPr>
                  <w:tcW w:w="1488" w:type="pct"/>
                  <w:gridSpan w:val="3"/>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污染物名称</w:t>
                  </w:r>
                </w:p>
              </w:tc>
              <w:tc>
                <w:tcPr>
                  <w:tcW w:w="626" w:type="pct"/>
                  <w:gridSpan w:val="2"/>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性质</w:t>
                  </w:r>
                </w:p>
              </w:tc>
              <w:tc>
                <w:tcPr>
                  <w:tcW w:w="813"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产生量（t/a）</w:t>
                  </w:r>
                </w:p>
              </w:tc>
              <w:tc>
                <w:tcPr>
                  <w:tcW w:w="1550"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1</w:t>
                  </w:r>
                </w:p>
              </w:tc>
              <w:tc>
                <w:tcPr>
                  <w:tcW w:w="1488" w:type="pct"/>
                  <w:gridSpan w:val="3"/>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color w:val="auto"/>
                      <w:sz w:val="21"/>
                      <w:szCs w:val="21"/>
                    </w:rPr>
                    <w:t>清洗</w:t>
                  </w:r>
                  <w:r>
                    <w:rPr>
                      <w:rFonts w:hint="eastAsia" w:ascii="Times New Roman" w:hAnsi="Times New Roman"/>
                      <w:color w:val="auto"/>
                      <w:sz w:val="21"/>
                      <w:szCs w:val="21"/>
                      <w:lang w:val="en-US" w:eastAsia="zh-CN"/>
                    </w:rPr>
                    <w:t>沉淀池</w:t>
                  </w:r>
                  <w:r>
                    <w:rPr>
                      <w:rFonts w:hint="eastAsia" w:ascii="Times New Roman" w:hAnsi="Times New Roman"/>
                      <w:color w:val="auto"/>
                      <w:sz w:val="21"/>
                      <w:szCs w:val="21"/>
                    </w:rPr>
                    <w:t>产生的废塑料</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沉淀池污泥</w:t>
                  </w:r>
                </w:p>
              </w:tc>
              <w:tc>
                <w:tcPr>
                  <w:tcW w:w="626" w:type="pct"/>
                  <w:gridSpan w:val="2"/>
                  <w:vMerge w:val="restar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一般固废</w:t>
                  </w:r>
                </w:p>
              </w:tc>
              <w:tc>
                <w:tcPr>
                  <w:tcW w:w="813" w:type="pct"/>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rPr>
                    <w:t>1</w:t>
                  </w:r>
                  <w:r>
                    <w:rPr>
                      <w:rFonts w:hint="eastAsia" w:ascii="Times New Roman" w:hAnsi="Times New Roman" w:eastAsia="宋体"/>
                      <w:bCs/>
                      <w:color w:val="auto"/>
                      <w:sz w:val="21"/>
                      <w:szCs w:val="21"/>
                      <w:lang w:val="en-US" w:eastAsia="zh-CN"/>
                    </w:rPr>
                    <w:t>90</w:t>
                  </w:r>
                </w:p>
              </w:tc>
              <w:tc>
                <w:tcPr>
                  <w:tcW w:w="155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暂存于一般固废暂存区定期交环卫部门统一清运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2</w:t>
                  </w:r>
                </w:p>
              </w:tc>
              <w:tc>
                <w:tcPr>
                  <w:tcW w:w="1488" w:type="pct"/>
                  <w:gridSpan w:val="3"/>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eastAsia" w:ascii="Times New Roman" w:hAnsi="Times New Roman"/>
                      <w:color w:val="auto"/>
                      <w:sz w:val="21"/>
                      <w:szCs w:val="21"/>
                    </w:rPr>
                    <w:t>废包装材料</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eastAsia" w:ascii="Times New Roman" w:hAnsi="Times New Roman"/>
                      <w:color w:val="auto"/>
                      <w:sz w:val="21"/>
                      <w:szCs w:val="21"/>
                    </w:rPr>
                    <w:t>0.3</w:t>
                  </w:r>
                </w:p>
              </w:tc>
              <w:tc>
                <w:tcPr>
                  <w:tcW w:w="155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属于一般工业固体废物，外售废品回收站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3</w:t>
                  </w:r>
                </w:p>
              </w:tc>
              <w:tc>
                <w:tcPr>
                  <w:tcW w:w="1488" w:type="pct"/>
                  <w:gridSpan w:val="3"/>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eastAsia" w:ascii="Times New Roman" w:hAnsi="Times New Roman"/>
                      <w:color w:val="auto"/>
                      <w:sz w:val="21"/>
                      <w:szCs w:val="21"/>
                    </w:rPr>
                    <w:t>次品丝</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color w:val="auto"/>
                      <w:sz w:val="21"/>
                      <w:szCs w:val="21"/>
                      <w:lang w:val="en-US" w:eastAsia="zh-CN"/>
                    </w:rPr>
                    <w:t>200</w:t>
                  </w:r>
                </w:p>
              </w:tc>
              <w:tc>
                <w:tcPr>
                  <w:tcW w:w="155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收集后返回现有再生塑料颗粒生产线再利用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4</w:t>
                  </w:r>
                </w:p>
              </w:tc>
              <w:tc>
                <w:tcPr>
                  <w:tcW w:w="1488" w:type="pct"/>
                  <w:gridSpan w:val="3"/>
                  <w:noWrap w:val="0"/>
                  <w:vAlign w:val="center"/>
                </w:tcPr>
                <w:p>
                  <w:pPr>
                    <w:pStyle w:val="28"/>
                    <w:spacing w:after="0" w:line="240" w:lineRule="auto"/>
                    <w:ind w:right="113" w:rightChars="0" w:firstLine="0" w:firstLineChars="0"/>
                    <w:jc w:val="center"/>
                    <w:rPr>
                      <w:rFonts w:hint="eastAsia" w:ascii="Times New Roman" w:hAnsi="Times New Roman"/>
                      <w:color w:val="auto"/>
                      <w:sz w:val="21"/>
                      <w:szCs w:val="21"/>
                    </w:rPr>
                  </w:pPr>
                  <w:r>
                    <w:rPr>
                      <w:rFonts w:ascii="Times New Roman" w:hAnsi="Times New Roman" w:eastAsia="宋体"/>
                      <w:bCs/>
                      <w:color w:val="auto"/>
                      <w:sz w:val="21"/>
                      <w:szCs w:val="21"/>
                    </w:rPr>
                    <w:t>生活垃圾</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8"/>
                    <w:spacing w:after="0" w:line="240" w:lineRule="auto"/>
                    <w:ind w:right="113" w:rightChars="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9</w:t>
                  </w:r>
                </w:p>
              </w:tc>
              <w:tc>
                <w:tcPr>
                  <w:tcW w:w="1550"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rPr>
                  </w:pPr>
                  <w:r>
                    <w:rPr>
                      <w:rFonts w:ascii="Times New Roman" w:hAnsi="Times New Roman" w:eastAsia="宋体"/>
                      <w:bCs/>
                      <w:color w:val="auto"/>
                      <w:sz w:val="21"/>
                      <w:szCs w:val="21"/>
                    </w:rPr>
                    <w:t>垃圾桶收集，交环卫部门清运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5</w:t>
                  </w:r>
                </w:p>
              </w:tc>
              <w:tc>
                <w:tcPr>
                  <w:tcW w:w="1488" w:type="pct"/>
                  <w:gridSpan w:val="3"/>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废过滤棉</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lang w:val="en-US" w:eastAsia="zh-CN"/>
                    </w:rPr>
                  </w:pPr>
                  <w:r>
                    <w:rPr>
                      <w:rFonts w:ascii="Times New Roman" w:hAnsi="Times New Roman" w:eastAsia="宋体"/>
                      <w:bCs/>
                      <w:color w:val="auto"/>
                      <w:sz w:val="21"/>
                      <w:szCs w:val="21"/>
                    </w:rPr>
                    <w:t>1410m</w:t>
                  </w:r>
                  <w:r>
                    <w:rPr>
                      <w:rFonts w:ascii="Times New Roman" w:hAnsi="Times New Roman" w:eastAsia="宋体"/>
                      <w:bCs/>
                      <w:color w:val="auto"/>
                      <w:sz w:val="21"/>
                      <w:szCs w:val="21"/>
                      <w:vertAlign w:val="superscript"/>
                    </w:rPr>
                    <w:t>2</w:t>
                  </w:r>
                  <w:r>
                    <w:rPr>
                      <w:rFonts w:ascii="Times New Roman" w:hAnsi="Times New Roman" w:eastAsia="宋体"/>
                      <w:bCs/>
                      <w:color w:val="auto"/>
                      <w:sz w:val="21"/>
                      <w:szCs w:val="21"/>
                    </w:rPr>
                    <w:t>/a</w:t>
                  </w:r>
                </w:p>
              </w:tc>
              <w:tc>
                <w:tcPr>
                  <w:tcW w:w="1550"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由</w:t>
                  </w:r>
                  <w:r>
                    <w:rPr>
                      <w:rFonts w:ascii="Times New Roman" w:hAnsi="Times New Roman" w:eastAsia="宋体"/>
                      <w:bCs/>
                      <w:color w:val="auto"/>
                      <w:sz w:val="21"/>
                      <w:szCs w:val="21"/>
                    </w:rPr>
                    <w:t>厂家回收</w:t>
                  </w:r>
                  <w:r>
                    <w:rPr>
                      <w:rFonts w:hint="eastAsia" w:ascii="Times New Roman" w:hAnsi="Times New Roman" w:eastAsia="宋体"/>
                      <w:bCs/>
                      <w:color w:val="auto"/>
                      <w:sz w:val="21"/>
                      <w:szCs w:val="21"/>
                      <w:lang w:val="en-US" w:eastAsia="zh-CN"/>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6</w:t>
                  </w:r>
                </w:p>
              </w:tc>
              <w:tc>
                <w:tcPr>
                  <w:tcW w:w="1488" w:type="pct"/>
                  <w:gridSpan w:val="3"/>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废过滤网</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lang w:val="en-US" w:eastAsia="zh-CN"/>
                    </w:rPr>
                  </w:pPr>
                  <w:r>
                    <w:rPr>
                      <w:rFonts w:ascii="Times New Roman" w:hAnsi="Times New Roman" w:eastAsia="宋体"/>
                      <w:bCs/>
                      <w:color w:val="auto"/>
                      <w:sz w:val="21"/>
                      <w:szCs w:val="21"/>
                    </w:rPr>
                    <w:t>3</w:t>
                  </w:r>
                </w:p>
              </w:tc>
              <w:tc>
                <w:tcPr>
                  <w:tcW w:w="1550"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rPr>
                  </w:pPr>
                  <w:r>
                    <w:rPr>
                      <w:rFonts w:hint="eastAsia" w:ascii="Times New Roman" w:hAnsi="Times New Roman" w:eastAsia="宋体"/>
                      <w:bCs/>
                      <w:color w:val="auto"/>
                      <w:sz w:val="21"/>
                      <w:szCs w:val="21"/>
                      <w:lang w:val="en-US" w:eastAsia="zh-CN"/>
                    </w:rPr>
                    <w:t xml:space="preserve"> 烧网机处理后重复利用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lang w:eastAsia="zh-CN"/>
                    </w:rPr>
                  </w:pPr>
                  <w:r>
                    <w:rPr>
                      <w:rFonts w:hint="eastAsia" w:ascii="Times New Roman" w:hAnsi="Times New Roman" w:eastAsia="宋体"/>
                      <w:bCs/>
                      <w:color w:val="auto"/>
                      <w:sz w:val="21"/>
                      <w:szCs w:val="21"/>
                      <w:lang w:val="en-US" w:eastAsia="zh-CN"/>
                    </w:rPr>
                    <w:t>7</w:t>
                  </w:r>
                </w:p>
              </w:tc>
              <w:tc>
                <w:tcPr>
                  <w:tcW w:w="1488" w:type="pct"/>
                  <w:gridSpan w:val="3"/>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eastAsia" w:ascii="Times New Roman" w:hAnsi="Times New Roman"/>
                      <w:color w:val="auto"/>
                      <w:sz w:val="21"/>
                      <w:szCs w:val="21"/>
                    </w:rPr>
                    <w:t>除尘灰</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color w:val="auto"/>
                      <w:sz w:val="21"/>
                      <w:szCs w:val="21"/>
                      <w:lang w:val="en-US" w:eastAsia="zh-CN"/>
                    </w:rPr>
                    <w:t>2.67</w:t>
                  </w:r>
                </w:p>
              </w:tc>
              <w:tc>
                <w:tcPr>
                  <w:tcW w:w="155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收集后交由环卫部门统一处理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8</w:t>
                  </w:r>
                </w:p>
              </w:tc>
              <w:tc>
                <w:tcPr>
                  <w:tcW w:w="1488" w:type="pct"/>
                  <w:gridSpan w:val="3"/>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污水处理污泥</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100</w:t>
                  </w:r>
                </w:p>
              </w:tc>
              <w:tc>
                <w:tcPr>
                  <w:tcW w:w="1550" w:type="pct"/>
                  <w:vMerge w:val="restar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定期打捞，交由乐山市沙湾区胜晖工业废渣综合利用有限公司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9</w:t>
                  </w:r>
                </w:p>
              </w:tc>
              <w:tc>
                <w:tcPr>
                  <w:tcW w:w="1488" w:type="pct"/>
                  <w:gridSpan w:val="3"/>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隔油池污泥</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8"/>
                    <w:spacing w:after="0" w:line="240" w:lineRule="auto"/>
                    <w:ind w:right="113" w:rightChars="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w:t>
                  </w:r>
                </w:p>
              </w:tc>
              <w:tc>
                <w:tcPr>
                  <w:tcW w:w="1550" w:type="pct"/>
                  <w:vMerge w:val="continue"/>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10</w:t>
                  </w:r>
                </w:p>
              </w:tc>
              <w:tc>
                <w:tcPr>
                  <w:tcW w:w="1488" w:type="pct"/>
                  <w:gridSpan w:val="3"/>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预处理池污泥</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8"/>
                    <w:spacing w:after="0" w:line="240" w:lineRule="auto"/>
                    <w:ind w:right="113" w:rightChars="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w:t>
                  </w:r>
                </w:p>
              </w:tc>
              <w:tc>
                <w:tcPr>
                  <w:tcW w:w="1550" w:type="pct"/>
                  <w:vMerge w:val="continue"/>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11</w:t>
                  </w:r>
                </w:p>
              </w:tc>
              <w:tc>
                <w:tcPr>
                  <w:tcW w:w="744" w:type="pct"/>
                  <w:gridSpan w:val="2"/>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宋体" w:hAnsi="宋体" w:eastAsia="宋体" w:cs="宋体"/>
                      <w:color w:val="auto"/>
                      <w:sz w:val="21"/>
                      <w:szCs w:val="21"/>
                    </w:rPr>
                    <w:t>清</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沉淀池</w:t>
                  </w:r>
                  <w:r>
                    <w:rPr>
                      <w:rFonts w:hint="eastAsia" w:ascii="Times New Roman" w:hAnsi="Times New Roman" w:eastAsia="宋体" w:cs="宋体"/>
                      <w:bCs/>
                      <w:color w:val="auto"/>
                      <w:sz w:val="21"/>
                      <w:szCs w:val="21"/>
                    </w:rPr>
                    <w:t>浮油</w:t>
                  </w:r>
                </w:p>
              </w:tc>
              <w:tc>
                <w:tcPr>
                  <w:tcW w:w="744" w:type="pc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color w:val="auto"/>
                      <w:sz w:val="21"/>
                      <w:szCs w:val="21"/>
                    </w:rPr>
                  </w:pPr>
                  <w:r>
                    <w:rPr>
                      <w:rFonts w:ascii="Times New Roman" w:hAnsi="Times New Roman"/>
                      <w:color w:val="auto"/>
                      <w:sz w:val="21"/>
                      <w:szCs w:val="21"/>
                    </w:rPr>
                    <w:t>HW08</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ascii="Times New Roman" w:hAnsi="Times New Roman" w:eastAsia="宋体"/>
                      <w:bCs/>
                      <w:color w:val="auto"/>
                      <w:sz w:val="21"/>
                      <w:szCs w:val="21"/>
                    </w:rPr>
                  </w:pPr>
                  <w:r>
                    <w:rPr>
                      <w:rFonts w:ascii="Times New Roman" w:hAnsi="Times New Roman"/>
                      <w:color w:val="auto"/>
                      <w:sz w:val="21"/>
                      <w:szCs w:val="21"/>
                    </w:rPr>
                    <w:t>900-210-08</w:t>
                  </w:r>
                </w:p>
              </w:tc>
              <w:tc>
                <w:tcPr>
                  <w:tcW w:w="626" w:type="pct"/>
                  <w:gridSpan w:val="2"/>
                  <w:vMerge w:val="restar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危险废物</w:t>
                  </w:r>
                </w:p>
              </w:tc>
              <w:tc>
                <w:tcPr>
                  <w:tcW w:w="813" w:type="pct"/>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0.43</w:t>
                  </w:r>
                </w:p>
              </w:tc>
              <w:tc>
                <w:tcPr>
                  <w:tcW w:w="155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定期打捞后妥善暂存于危废暂存间，定期交绵阳</w:t>
                  </w:r>
                  <w:r>
                    <w:rPr>
                      <w:rFonts w:hint="eastAsia" w:ascii="Times New Roman" w:hAnsi="Times New Roman" w:eastAsia="宋体"/>
                      <w:bCs/>
                      <w:color w:val="auto"/>
                      <w:sz w:val="21"/>
                      <w:szCs w:val="21"/>
                      <w:lang w:val="en-US" w:eastAsia="zh-CN"/>
                    </w:rPr>
                    <w:t>市</w:t>
                  </w:r>
                  <w:r>
                    <w:rPr>
                      <w:rFonts w:hint="eastAsia" w:ascii="Times New Roman" w:hAnsi="Times New Roman" w:eastAsia="宋体"/>
                      <w:bCs/>
                      <w:color w:val="auto"/>
                      <w:sz w:val="21"/>
                      <w:szCs w:val="21"/>
                    </w:rPr>
                    <w:t>天捷能源有限公司处置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12</w:t>
                  </w:r>
                </w:p>
              </w:tc>
              <w:tc>
                <w:tcPr>
                  <w:tcW w:w="742" w:type="pct"/>
                  <w:noWrap w:val="0"/>
                  <w:vAlign w:val="center"/>
                </w:tcPr>
                <w:p>
                  <w:pPr>
                    <w:pStyle w:val="75"/>
                    <w:spacing w:before="0" w:line="240" w:lineRule="auto"/>
                    <w:rPr>
                      <w:rFonts w:ascii="Times New Roman" w:hAnsi="Times New Roman" w:eastAsia="宋体"/>
                      <w:bCs/>
                      <w:color w:val="auto"/>
                      <w:sz w:val="21"/>
                      <w:szCs w:val="21"/>
                    </w:rPr>
                  </w:pPr>
                  <w:r>
                    <w:rPr>
                      <w:rFonts w:hint="eastAsia" w:ascii="Times New Roman" w:hAnsi="Times New Roman" w:eastAsia="宋体"/>
                      <w:color w:val="auto"/>
                      <w:sz w:val="21"/>
                      <w:szCs w:val="21"/>
                    </w:rPr>
                    <w:t>废UV灯管</w:t>
                  </w:r>
                </w:p>
              </w:tc>
              <w:tc>
                <w:tcPr>
                  <w:tcW w:w="74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color w:val="auto"/>
                      <w:sz w:val="21"/>
                      <w:szCs w:val="21"/>
                    </w:rPr>
                  </w:pPr>
                  <w:r>
                    <w:rPr>
                      <w:rFonts w:ascii="Times New Roman" w:hAnsi="Times New Roman"/>
                      <w:color w:val="auto"/>
                      <w:sz w:val="21"/>
                      <w:szCs w:val="21"/>
                    </w:rPr>
                    <w:t>HW49</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900-013-11</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eastAsia" w:ascii="Times New Roman" w:hAnsi="Times New Roman"/>
                      <w:color w:val="auto"/>
                      <w:sz w:val="21"/>
                      <w:szCs w:val="21"/>
                    </w:rPr>
                    <w:t>0.008</w:t>
                  </w:r>
                </w:p>
              </w:tc>
              <w:tc>
                <w:tcPr>
                  <w:tcW w:w="155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交由乐山高能时代环境技术有限公司处置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13</w:t>
                  </w:r>
                </w:p>
              </w:tc>
              <w:tc>
                <w:tcPr>
                  <w:tcW w:w="742" w:type="pct"/>
                  <w:noWrap w:val="0"/>
                  <w:vAlign w:val="center"/>
                </w:tcPr>
                <w:p>
                  <w:pPr>
                    <w:pStyle w:val="75"/>
                    <w:spacing w:before="0" w:line="240" w:lineRule="auto"/>
                    <w:rPr>
                      <w:rFonts w:hint="eastAsia" w:ascii="Times New Roman" w:hAnsi="Times New Roman" w:eastAsia="宋体"/>
                      <w:color w:val="auto"/>
                      <w:sz w:val="21"/>
                      <w:szCs w:val="21"/>
                    </w:rPr>
                  </w:pPr>
                  <w:r>
                    <w:rPr>
                      <w:rFonts w:hint="eastAsia" w:ascii="Times New Roman" w:hAnsi="Times New Roman" w:eastAsia="宋体"/>
                      <w:bCs/>
                      <w:color w:val="auto"/>
                      <w:sz w:val="21"/>
                      <w:szCs w:val="21"/>
                    </w:rPr>
                    <w:t>废机油桶、齿轮油桶</w:t>
                  </w:r>
                </w:p>
              </w:tc>
              <w:tc>
                <w:tcPr>
                  <w:tcW w:w="74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color w:val="auto"/>
                      <w:sz w:val="21"/>
                      <w:szCs w:val="21"/>
                    </w:rPr>
                  </w:pPr>
                  <w:r>
                    <w:rPr>
                      <w:rFonts w:ascii="Times New Roman" w:hAnsi="Times New Roman"/>
                      <w:color w:val="auto"/>
                      <w:sz w:val="21"/>
                      <w:szCs w:val="21"/>
                    </w:rPr>
                    <w:t>HW49</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900-041-49</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0.3</w:t>
                  </w:r>
                </w:p>
              </w:tc>
              <w:tc>
                <w:tcPr>
                  <w:tcW w:w="1550"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rPr>
                  </w:pPr>
                  <w:r>
                    <w:rPr>
                      <w:rFonts w:hint="eastAsia" w:ascii="Times New Roman" w:hAnsi="Times New Roman" w:eastAsia="宋体"/>
                      <w:bCs/>
                      <w:color w:val="auto"/>
                      <w:sz w:val="21"/>
                      <w:szCs w:val="21"/>
                    </w:rPr>
                    <w:t>收集后暂存于危废暂存间定期交绵阳</w:t>
                  </w:r>
                  <w:r>
                    <w:rPr>
                      <w:rFonts w:hint="eastAsia" w:ascii="Times New Roman" w:hAnsi="Times New Roman" w:eastAsia="宋体"/>
                      <w:bCs/>
                      <w:color w:val="auto"/>
                      <w:sz w:val="21"/>
                      <w:szCs w:val="21"/>
                      <w:lang w:val="en-US" w:eastAsia="zh-CN"/>
                    </w:rPr>
                    <w:t>市</w:t>
                  </w:r>
                  <w:r>
                    <w:rPr>
                      <w:rFonts w:hint="eastAsia" w:ascii="Times New Roman" w:hAnsi="Times New Roman" w:eastAsia="宋体"/>
                      <w:bCs/>
                      <w:color w:val="auto"/>
                      <w:sz w:val="21"/>
                      <w:szCs w:val="21"/>
                    </w:rPr>
                    <w:t>天捷能源有限公司处置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38" w:type="pct"/>
                <w:wAfter w:w="46" w:type="pct"/>
                <w:jc w:val="center"/>
              </w:trPr>
              <w:tc>
                <w:tcPr>
                  <w:tcW w:w="436"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14</w:t>
                  </w:r>
                </w:p>
              </w:tc>
              <w:tc>
                <w:tcPr>
                  <w:tcW w:w="742" w:type="pct"/>
                  <w:noWrap w:val="0"/>
                  <w:vAlign w:val="center"/>
                </w:tcPr>
                <w:p>
                  <w:pPr>
                    <w:pStyle w:val="75"/>
                    <w:spacing w:before="0" w:line="240" w:lineRule="auto"/>
                    <w:rPr>
                      <w:rFonts w:ascii="Times New Roman" w:hAnsi="Times New Roman" w:eastAsia="宋体"/>
                      <w:bCs/>
                      <w:color w:val="auto"/>
                      <w:sz w:val="21"/>
                      <w:szCs w:val="21"/>
                    </w:rPr>
                  </w:pPr>
                  <w:r>
                    <w:rPr>
                      <w:rFonts w:hint="eastAsia" w:ascii="Times New Roman" w:hAnsi="Times New Roman" w:eastAsia="宋体"/>
                      <w:color w:val="auto"/>
                      <w:sz w:val="21"/>
                      <w:szCs w:val="21"/>
                    </w:rPr>
                    <w:t>废活性炭</w:t>
                  </w:r>
                </w:p>
              </w:tc>
              <w:tc>
                <w:tcPr>
                  <w:tcW w:w="74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color w:val="auto"/>
                      <w:sz w:val="21"/>
                      <w:szCs w:val="21"/>
                    </w:rPr>
                  </w:pPr>
                  <w:r>
                    <w:rPr>
                      <w:rFonts w:ascii="Times New Roman" w:hAnsi="Times New Roman"/>
                      <w:color w:val="auto"/>
                      <w:sz w:val="21"/>
                      <w:szCs w:val="21"/>
                    </w:rPr>
                    <w:t>HW</w:t>
                  </w:r>
                  <w:r>
                    <w:rPr>
                      <w:rFonts w:hint="eastAsia" w:ascii="Times New Roman" w:hAnsi="Times New Roman"/>
                      <w:color w:val="auto"/>
                      <w:sz w:val="21"/>
                      <w:szCs w:val="21"/>
                      <w:lang w:val="en-US" w:eastAsia="zh-CN"/>
                    </w:rPr>
                    <w:t>2</w:t>
                  </w:r>
                  <w:r>
                    <w:rPr>
                      <w:rFonts w:ascii="Times New Roman" w:hAnsi="Times New Roman"/>
                      <w:color w:val="auto"/>
                      <w:sz w:val="21"/>
                      <w:szCs w:val="21"/>
                    </w:rPr>
                    <w:t>9</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900-013-11</w:t>
                  </w:r>
                </w:p>
              </w:tc>
              <w:tc>
                <w:tcPr>
                  <w:tcW w:w="626" w:type="pct"/>
                  <w:gridSpan w:val="2"/>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13" w:type="pct"/>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color w:val="auto"/>
                      <w:sz w:val="21"/>
                      <w:szCs w:val="21"/>
                      <w:lang w:val="en-US" w:eastAsia="zh-CN"/>
                    </w:rPr>
                    <w:t>21.87</w:t>
                  </w:r>
                </w:p>
              </w:tc>
              <w:tc>
                <w:tcPr>
                  <w:tcW w:w="1550"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收集后暂存于危废暂存间定期交珙县华洁危险废物治理有限公司处置</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jc w:val="center"/>
              </w:trPr>
              <w:tc>
                <w:tcPr>
                  <w:tcW w:w="2256" w:type="pct"/>
                  <w:gridSpan w:val="6"/>
                  <w:noWrap w:val="0"/>
                  <w:vAlign w:val="center"/>
                </w:tcPr>
                <w:p>
                  <w:pPr>
                    <w:pStyle w:val="2"/>
                    <w:adjustRightInd/>
                    <w:spacing w:line="240" w:lineRule="auto"/>
                    <w:ind w:left="0" w:right="0" w:firstLine="0"/>
                    <w:jc w:val="center"/>
                    <w:textAlignment w:val="auto"/>
                    <w:rPr>
                      <w:rFonts w:ascii="Times New Roman" w:hAnsi="Times New Roman"/>
                      <w:b/>
                      <w:color w:val="auto"/>
                      <w:sz w:val="21"/>
                      <w:szCs w:val="21"/>
                      <w:u w:val="single"/>
                    </w:rPr>
                  </w:pPr>
                  <w:r>
                    <w:rPr>
                      <w:color w:val="auto"/>
                      <w:sz w:val="21"/>
                      <w:szCs w:val="21"/>
                    </w:rPr>
                    <w:drawing>
                      <wp:inline distT="0" distB="0" distL="114300" distR="114300">
                        <wp:extent cx="1999615" cy="1919605"/>
                        <wp:effectExtent l="0" t="0" r="635" b="4445"/>
                        <wp:docPr id="16"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2"/>
                                <pic:cNvPicPr>
                                  <a:picLocks noChangeAspect="1"/>
                                </pic:cNvPicPr>
                              </pic:nvPicPr>
                              <pic:blipFill>
                                <a:blip r:embed="rId40"/>
                                <a:stretch>
                                  <a:fillRect/>
                                </a:stretch>
                              </pic:blipFill>
                              <pic:spPr>
                                <a:xfrm>
                                  <a:off x="0" y="0"/>
                                  <a:ext cx="1999615" cy="1919605"/>
                                </a:xfrm>
                                <a:prstGeom prst="rect">
                                  <a:avLst/>
                                </a:prstGeom>
                                <a:noFill/>
                                <a:ln>
                                  <a:noFill/>
                                </a:ln>
                              </pic:spPr>
                            </pic:pic>
                          </a:graphicData>
                        </a:graphic>
                      </wp:inline>
                    </w:drawing>
                  </w:r>
                </w:p>
              </w:tc>
              <w:tc>
                <w:tcPr>
                  <w:tcW w:w="2743" w:type="pct"/>
                  <w:gridSpan w:val="4"/>
                  <w:noWrap w:val="0"/>
                  <w:vAlign w:val="center"/>
                </w:tcPr>
                <w:p>
                  <w:pPr>
                    <w:pStyle w:val="2"/>
                    <w:adjustRightInd/>
                    <w:spacing w:line="240" w:lineRule="auto"/>
                    <w:ind w:left="0" w:right="0" w:firstLine="0"/>
                    <w:jc w:val="center"/>
                    <w:textAlignment w:val="auto"/>
                    <w:rPr>
                      <w:rFonts w:ascii="Times New Roman" w:hAnsi="Times New Roman"/>
                      <w:b/>
                      <w:color w:val="auto"/>
                      <w:sz w:val="21"/>
                      <w:szCs w:val="21"/>
                      <w:u w:val="single"/>
                    </w:rPr>
                  </w:pPr>
                  <w:r>
                    <w:rPr>
                      <w:color w:val="auto"/>
                      <w:sz w:val="21"/>
                      <w:szCs w:val="21"/>
                    </w:rPr>
                    <w:drawing>
                      <wp:inline distT="0" distB="0" distL="114300" distR="114300">
                        <wp:extent cx="2658110" cy="1887220"/>
                        <wp:effectExtent l="0" t="0" r="8890" b="17780"/>
                        <wp:docPr id="1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3"/>
                                <pic:cNvPicPr>
                                  <a:picLocks noChangeAspect="1"/>
                                </pic:cNvPicPr>
                              </pic:nvPicPr>
                              <pic:blipFill>
                                <a:blip r:embed="rId41"/>
                                <a:stretch>
                                  <a:fillRect/>
                                </a:stretch>
                              </pic:blipFill>
                              <pic:spPr>
                                <a:xfrm>
                                  <a:off x="0" y="0"/>
                                  <a:ext cx="2658110" cy="1887220"/>
                                </a:xfrm>
                                <a:prstGeom prst="rect">
                                  <a:avLst/>
                                </a:prstGeom>
                                <a:noFill/>
                                <a:ln>
                                  <a:noFill/>
                                </a:ln>
                              </pic:spPr>
                            </pic:pic>
                          </a:graphicData>
                        </a:graphic>
                      </wp:inline>
                    </w:drawing>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jc w:val="center"/>
              </w:trPr>
              <w:tc>
                <w:tcPr>
                  <w:tcW w:w="5000" w:type="pct"/>
                  <w:gridSpan w:val="10"/>
                  <w:noWrap w:val="0"/>
                  <w:vAlign w:val="center"/>
                </w:tcPr>
                <w:p>
                  <w:pPr>
                    <w:pStyle w:val="2"/>
                    <w:adjustRightInd/>
                    <w:spacing w:before="0" w:line="240" w:lineRule="auto"/>
                    <w:ind w:left="0" w:right="0" w:firstLine="0"/>
                    <w:jc w:val="center"/>
                    <w:textAlignment w:val="auto"/>
                    <w:rPr>
                      <w:rFonts w:ascii="Times New Roman" w:hAnsi="Times New Roman"/>
                      <w:b/>
                      <w:color w:val="auto"/>
                      <w:sz w:val="21"/>
                      <w:szCs w:val="21"/>
                      <w:u w:val="single"/>
                    </w:rPr>
                  </w:pPr>
                  <w:r>
                    <w:rPr>
                      <w:rFonts w:ascii="Times New Roman" w:hAnsi="Times New Roman" w:eastAsia="宋体"/>
                      <w:b/>
                      <w:color w:val="auto"/>
                      <w:sz w:val="21"/>
                      <w:szCs w:val="21"/>
                    </w:rPr>
                    <w:t>现有危废暂存间</w:t>
                  </w:r>
                </w:p>
              </w:tc>
            </w:tr>
          </w:tbl>
          <w:p>
            <w:pPr>
              <w:pStyle w:val="2"/>
              <w:keepNext w:val="0"/>
              <w:keepLines w:val="0"/>
              <w:pageBreakBefore w:val="0"/>
              <w:widowControl w:val="0"/>
              <w:kinsoku/>
              <w:wordWrap/>
              <w:overflowPunct/>
              <w:topLinePunct w:val="0"/>
              <w:autoSpaceDE/>
              <w:autoSpaceDN/>
              <w:bidi w:val="0"/>
              <w:adjustRightInd/>
              <w:spacing w:before="0" w:after="0" w:afterAutospacing="0" w:line="360" w:lineRule="auto"/>
              <w:ind w:left="0" w:right="0" w:firstLine="472" w:firstLineChars="200"/>
              <w:textAlignment w:val="auto"/>
              <w:rPr>
                <w:rFonts w:hint="eastAsia"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本项目危废暂存间设置于厂区南侧，占地面积约</w:t>
            </w:r>
            <w:r>
              <w:rPr>
                <w:rFonts w:hint="eastAsia" w:ascii="Times New Roman" w:hAnsi="Times New Roman" w:eastAsia="宋体" w:cs="Times New Roman"/>
                <w:bCs/>
                <w:color w:val="auto"/>
                <w:sz w:val="24"/>
                <w:szCs w:val="24"/>
                <w:lang w:val="en-US" w:eastAsia="zh-CN"/>
              </w:rPr>
              <w:t>20</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2</w:t>
            </w:r>
            <w:r>
              <w:rPr>
                <w:rFonts w:hint="default"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lang w:val="en-US" w:eastAsia="zh-CN"/>
              </w:rPr>
              <w:t>根据现场踏勘，企业危废暂存间存在危废分类不规范、“三防”措施不到位等问题。</w:t>
            </w:r>
          </w:p>
          <w:p>
            <w:pPr>
              <w:pStyle w:val="2"/>
              <w:keepNext w:val="0"/>
              <w:keepLines w:val="0"/>
              <w:pageBreakBefore w:val="0"/>
              <w:widowControl w:val="0"/>
              <w:kinsoku/>
              <w:wordWrap/>
              <w:overflowPunct/>
              <w:topLinePunct w:val="0"/>
              <w:autoSpaceDE/>
              <w:autoSpaceDN/>
              <w:bidi w:val="0"/>
              <w:adjustRightInd/>
              <w:spacing w:before="0" w:after="0" w:afterAutospacing="0" w:line="360" w:lineRule="auto"/>
              <w:ind w:left="0" w:right="0" w:firstLine="472"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本次环评要求：企业进一步规范危废暂存间，做到分类存放，完善台账，并按《危险废物贮存污染控制标准》（</w:t>
            </w:r>
            <w:r>
              <w:rPr>
                <w:rFonts w:hint="default" w:ascii="Times New Roman" w:hAnsi="Times New Roman" w:eastAsia="宋体" w:cs="Times New Roman"/>
                <w:bCs/>
                <w:color w:val="auto"/>
                <w:sz w:val="24"/>
                <w:szCs w:val="24"/>
                <w:lang w:val="en-US" w:eastAsia="zh-CN"/>
              </w:rPr>
              <w:t>GB18597-2001/XG1-2013</w:t>
            </w:r>
            <w:r>
              <w:rPr>
                <w:rFonts w:hint="eastAsia" w:ascii="Times New Roman" w:hAnsi="Times New Roman" w:eastAsia="宋体" w:cs="Times New Roman"/>
                <w:bCs/>
                <w:color w:val="auto"/>
                <w:sz w:val="24"/>
                <w:szCs w:val="24"/>
                <w:lang w:val="en-US" w:eastAsia="zh-CN"/>
              </w:rPr>
              <w:t>）有关要求进行建设。</w:t>
            </w:r>
          </w:p>
          <w:p>
            <w:pPr>
              <w:pStyle w:val="95"/>
              <w:numPr>
                <w:ilvl w:val="0"/>
                <w:numId w:val="6"/>
              </w:numPr>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企业现有问题及“以新带老”措施</w:t>
            </w:r>
          </w:p>
          <w:p>
            <w:pPr>
              <w:pStyle w:val="95"/>
              <w:keepNext w:val="0"/>
              <w:keepLines w:val="0"/>
              <w:pageBreakBefore w:val="0"/>
              <w:widowControl w:val="0"/>
              <w:numPr>
                <w:ilvl w:val="0"/>
                <w:numId w:val="7"/>
              </w:numPr>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根据现场勘察，企业危废暂存间存在危废分类不规范、“三防”措施不到位等问题。本次环评要求：进一步规范危废暂存间，按《危险废物贮存污染控制标准》（</w:t>
            </w:r>
            <w:r>
              <w:rPr>
                <w:rFonts w:hint="default" w:ascii="Times New Roman" w:hAnsi="Times New Roman" w:eastAsia="宋体" w:cs="Times New Roman"/>
                <w:b w:val="0"/>
                <w:bCs w:val="0"/>
                <w:color w:val="auto"/>
                <w:sz w:val="24"/>
                <w:szCs w:val="24"/>
                <w:lang w:val="en-US" w:eastAsia="zh-CN"/>
              </w:rPr>
              <w:t>GB18597-2001/XG1-2013</w:t>
            </w:r>
            <w:r>
              <w:rPr>
                <w:rFonts w:hint="eastAsia" w:ascii="Times New Roman" w:hAnsi="Times New Roman" w:eastAsia="宋体" w:cs="Times New Roman"/>
                <w:b w:val="0"/>
                <w:bCs w:val="0"/>
                <w:color w:val="auto"/>
                <w:sz w:val="24"/>
                <w:szCs w:val="24"/>
                <w:lang w:val="en-US" w:eastAsia="zh-CN"/>
              </w:rPr>
              <w:t>）有关要求进行建设，新增导流沟、围堰、托盘等，采用环氧树脂漆对暂存间进行防渗补漆。危险废物做到分类存放，完善台账。</w:t>
            </w:r>
          </w:p>
          <w:p>
            <w:pPr>
              <w:pStyle w:val="95"/>
              <w:keepNext w:val="0"/>
              <w:keepLines w:val="0"/>
              <w:pageBreakBefore w:val="0"/>
              <w:widowControl w:val="0"/>
              <w:numPr>
                <w:ilvl w:val="0"/>
                <w:numId w:val="7"/>
              </w:numPr>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根据项目现状检测可知，厂界东侧噪声相对较大。本次技改后将新增圆织机150台，可能导致噪声排放超标。本次环评要求：</w:t>
            </w:r>
            <w:r>
              <w:rPr>
                <w:rFonts w:ascii="Times New Roman" w:hAnsi="Times New Roman" w:eastAsia="宋体" w:cs="Times New Roman"/>
                <w:b w:val="0"/>
                <w:bCs w:val="0"/>
                <w:color w:val="auto"/>
                <w:sz w:val="24"/>
                <w:szCs w:val="24"/>
              </w:rPr>
              <w:t>采用吸声、隔声材料</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对</w:t>
            </w:r>
            <w:r>
              <w:rPr>
                <w:rFonts w:ascii="Times New Roman" w:hAnsi="Times New Roman" w:eastAsia="宋体" w:cs="Times New Roman"/>
                <w:b w:val="0"/>
                <w:bCs w:val="0"/>
                <w:color w:val="auto"/>
                <w:sz w:val="24"/>
                <w:szCs w:val="24"/>
              </w:rPr>
              <w:t>厂房</w:t>
            </w:r>
            <w:r>
              <w:rPr>
                <w:rFonts w:hint="eastAsia" w:ascii="Times New Roman" w:hAnsi="Times New Roman" w:eastAsia="宋体" w:cs="Times New Roman"/>
                <w:b w:val="0"/>
                <w:bCs w:val="0"/>
                <w:color w:val="auto"/>
                <w:sz w:val="24"/>
                <w:szCs w:val="24"/>
                <w:lang w:val="en-US" w:eastAsia="zh-CN"/>
              </w:rPr>
              <w:t>进行隔声加强措施</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并加装隔声窗。</w:t>
            </w:r>
          </w:p>
          <w:p>
            <w:pPr>
              <w:pStyle w:val="95"/>
              <w:keepNext w:val="0"/>
              <w:keepLines w:val="0"/>
              <w:pageBreakBefore w:val="0"/>
              <w:widowControl w:val="0"/>
              <w:numPr>
                <w:ilvl w:val="0"/>
                <w:numId w:val="7"/>
              </w:numPr>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根据现场勘察，厂区部分区域物品堆放较为混乱，分区不够明确。本次环评要求：企业加强管理，对厂区进行分区分类规范管理，定期开展环保培训，强化员工环保意识，切实提高企业环境管理水平。</w:t>
            </w:r>
          </w:p>
          <w:p>
            <w:pPr>
              <w:pStyle w:val="95"/>
              <w:keepNext w:val="0"/>
              <w:keepLines w:val="0"/>
              <w:pageBreakBefore w:val="0"/>
              <w:widowControl w:val="0"/>
              <w:numPr>
                <w:ilvl w:val="0"/>
                <w:numId w:val="7"/>
              </w:numPr>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由于烧网机产污较大，且属于淘汰设备，本次技改将进行淘汰。本次环评要求：对淘汰烧网机进行封存或外售，做好设备台账记录。生产过程产生废过滤网暂存于危废暂存间，定期交由有资质公司处置。</w:t>
            </w:r>
          </w:p>
          <w:p>
            <w:pPr>
              <w:pStyle w:val="95"/>
              <w:keepNext w:val="0"/>
              <w:keepLines w:val="0"/>
              <w:pageBreakBefore w:val="0"/>
              <w:widowControl w:val="0"/>
              <w:numPr>
                <w:ilvl w:val="0"/>
                <w:numId w:val="7"/>
              </w:numPr>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eastAsia="宋体" w:cs="Times New Roman"/>
                <w:b w:val="0"/>
                <w:bCs w:val="0"/>
                <w:color w:val="auto"/>
                <w:sz w:val="24"/>
                <w:szCs w:val="24"/>
                <w:lang w:val="en-US" w:eastAsia="zh-CN"/>
              </w:rPr>
              <w:t>企业污水处理站设有ABR厌氧池、二级接触氧化池等，易产生臭气。根据现场踏勘，</w:t>
            </w:r>
            <w:r>
              <w:rPr>
                <w:rFonts w:hint="default" w:ascii="Times New Roman" w:hAnsi="Times New Roman" w:eastAsia="宋体" w:cs="Times New Roman"/>
                <w:b w:val="0"/>
                <w:bCs w:val="0"/>
                <w:color w:val="auto"/>
                <w:sz w:val="24"/>
                <w:szCs w:val="24"/>
                <w:lang w:val="en-US" w:eastAsia="zh-CN"/>
              </w:rPr>
              <w:t>企业对</w:t>
            </w:r>
            <w:r>
              <w:rPr>
                <w:rFonts w:hint="eastAsia" w:ascii="Times New Roman" w:hAnsi="Times New Roman" w:eastAsia="宋体" w:cs="Times New Roman"/>
                <w:b w:val="0"/>
                <w:bCs w:val="0"/>
                <w:color w:val="auto"/>
                <w:sz w:val="24"/>
                <w:szCs w:val="24"/>
                <w:lang w:val="en-US" w:eastAsia="zh-CN"/>
              </w:rPr>
              <w:t>该</w:t>
            </w:r>
            <w:r>
              <w:rPr>
                <w:rFonts w:hint="default" w:ascii="Times New Roman" w:hAnsi="Times New Roman" w:eastAsia="宋体" w:cs="Times New Roman"/>
                <w:b w:val="0"/>
                <w:bCs w:val="0"/>
                <w:color w:val="auto"/>
                <w:sz w:val="24"/>
                <w:szCs w:val="24"/>
                <w:lang w:val="en-US" w:eastAsia="zh-CN"/>
              </w:rPr>
              <w:t>部分废气采取</w:t>
            </w:r>
            <w:r>
              <w:rPr>
                <w:rFonts w:hint="eastAsia" w:ascii="Times New Roman" w:hAnsi="Times New Roman" w:eastAsia="宋体" w:cs="Times New Roman"/>
                <w:b w:val="0"/>
                <w:bCs w:val="0"/>
                <w:color w:val="auto"/>
                <w:sz w:val="24"/>
                <w:szCs w:val="24"/>
                <w:lang w:val="en-US" w:eastAsia="zh-CN"/>
              </w:rPr>
              <w:t>敞布遮挡</w:t>
            </w:r>
            <w:r>
              <w:rPr>
                <w:rFonts w:hint="default" w:ascii="Times New Roman" w:hAnsi="Times New Roman" w:eastAsia="宋体" w:cs="Times New Roman"/>
                <w:b w:val="0"/>
                <w:bCs w:val="0"/>
                <w:color w:val="auto"/>
                <w:sz w:val="24"/>
                <w:szCs w:val="24"/>
                <w:lang w:val="en-US" w:eastAsia="zh-CN"/>
              </w:rPr>
              <w:t>措施，密封效果不好</w:t>
            </w:r>
            <w:r>
              <w:rPr>
                <w:rFonts w:hint="eastAsia" w:ascii="Times New Roman" w:hAnsi="Times New Roman" w:eastAsia="宋体" w:cs="Times New Roman"/>
                <w:b w:val="0"/>
                <w:bCs w:val="0"/>
                <w:color w:val="auto"/>
                <w:sz w:val="24"/>
                <w:szCs w:val="24"/>
                <w:lang w:val="en-US" w:eastAsia="zh-CN"/>
              </w:rPr>
              <w:t>，导致部分臭气外溢，对周围环境造成一定影响。本次环评要求：采用钢板或水泥板对ABR厌氧池、二级接触氧化池等易产生臭气处理池进行密封，确保臭气不外溢。</w:t>
            </w:r>
          </w:p>
          <w:p>
            <w:pPr>
              <w:pStyle w:val="9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原项目</w:t>
            </w:r>
            <w:r>
              <w:rPr>
                <w:rFonts w:hint="default" w:ascii="Times New Roman" w:hAnsi="Times New Roman" w:eastAsia="宋体" w:cs="Times New Roman"/>
                <w:color w:val="auto"/>
                <w:sz w:val="24"/>
                <w:szCs w:val="24"/>
              </w:rPr>
              <w:t>污染物排放量汇总</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2-</w:t>
            </w:r>
            <w:r>
              <w:rPr>
                <w:rFonts w:hint="eastAsia" w:ascii="Times New Roman" w:hAnsi="Times New Roman" w:cs="Times New Roman"/>
                <w:b/>
                <w:color w:val="auto"/>
                <w:szCs w:val="21"/>
                <w:lang w:val="en-US" w:eastAsia="zh-CN"/>
              </w:rPr>
              <w:t xml:space="preserve">16 </w:t>
            </w:r>
            <w:r>
              <w:rPr>
                <w:rFonts w:hint="default" w:ascii="Times New Roman" w:hAnsi="Times New Roman" w:cs="Times New Roman"/>
                <w:b/>
                <w:color w:val="auto"/>
                <w:szCs w:val="21"/>
              </w:rPr>
              <w:t xml:space="preserve"> </w:t>
            </w:r>
            <w:r>
              <w:rPr>
                <w:rFonts w:hint="default" w:ascii="Times New Roman" w:hAnsi="Times New Roman" w:cs="Times New Roman"/>
                <w:b/>
                <w:color w:val="auto"/>
                <w:szCs w:val="21"/>
                <w:lang w:val="en-US" w:eastAsia="zh-CN"/>
              </w:rPr>
              <w:t>原项目</w:t>
            </w:r>
            <w:r>
              <w:rPr>
                <w:rFonts w:hint="default" w:ascii="Times New Roman" w:hAnsi="Times New Roman" w:cs="Times New Roman"/>
                <w:b/>
                <w:color w:val="auto"/>
                <w:szCs w:val="21"/>
              </w:rPr>
              <w:t>污染物排放量一览表</w:t>
            </w:r>
          </w:p>
          <w:tbl>
            <w:tblPr>
              <w:tblStyle w:val="30"/>
              <w:tblW w:w="498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95"/>
              <w:gridCol w:w="3111"/>
              <w:gridCol w:w="2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tcBorders>
                    <w:tl2br w:val="nil"/>
                    <w:tr2bl w:val="nil"/>
                  </w:tcBorders>
                  <w:shd w:val="clear" w:color="auto" w:fill="DCE6F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污染类别</w:t>
                  </w:r>
                </w:p>
              </w:tc>
              <w:tc>
                <w:tcPr>
                  <w:tcW w:w="1858" w:type="pct"/>
                  <w:tcBorders>
                    <w:tl2br w:val="nil"/>
                    <w:tr2bl w:val="nil"/>
                  </w:tcBorders>
                  <w:shd w:val="clear" w:color="auto" w:fill="DCE6F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1590" w:type="pct"/>
                  <w:tcBorders>
                    <w:tl2br w:val="nil"/>
                    <w:tr2bl w:val="nil"/>
                  </w:tcBorders>
                  <w:shd w:val="clear" w:color="auto" w:fill="DCE6F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生活</w:t>
                  </w:r>
                  <w:r>
                    <w:rPr>
                      <w:rFonts w:hint="default" w:ascii="Times New Roman" w:hAnsi="Times New Roman" w:cs="Times New Roman"/>
                      <w:color w:val="auto"/>
                      <w:sz w:val="21"/>
                      <w:szCs w:val="21"/>
                    </w:rPr>
                    <w:t>废水</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ascii="Times New Roman" w:hAnsi="Times New Roman" w:cs="Times New Roman"/>
                      <w:color w:val="auto"/>
                      <w:kern w:val="0"/>
                      <w:sz w:val="21"/>
                      <w:szCs w:val="21"/>
                      <w:lang w:val="en-US" w:eastAsia="zh-CN"/>
                    </w:rPr>
                    <w:t>1440</w:t>
                  </w: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rPr>
                    <w:t>）</w:t>
                  </w:r>
                </w:p>
              </w:tc>
              <w:tc>
                <w:tcPr>
                  <w:tcW w:w="185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CODcr</w:t>
                  </w:r>
                </w:p>
              </w:tc>
              <w:tc>
                <w:tcPr>
                  <w:tcW w:w="159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氨氮</w:t>
                  </w:r>
                </w:p>
              </w:tc>
              <w:tc>
                <w:tcPr>
                  <w:tcW w:w="159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工艺废气</w:t>
                  </w:r>
                </w:p>
              </w:tc>
              <w:tc>
                <w:tcPr>
                  <w:tcW w:w="1858" w:type="pct"/>
                  <w:tcBorders>
                    <w:tl2br w:val="nil"/>
                    <w:tr2bl w:val="nil"/>
                  </w:tcBorders>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颗粒物</w:t>
                  </w:r>
                </w:p>
              </w:tc>
              <w:tc>
                <w:tcPr>
                  <w:tcW w:w="1590" w:type="pct"/>
                  <w:tcBorders>
                    <w:tl2br w:val="nil"/>
                    <w:tr2bl w:val="nil"/>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0.327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noWrap w:val="0"/>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VOCs</w:t>
                  </w:r>
                </w:p>
              </w:tc>
              <w:tc>
                <w:tcPr>
                  <w:tcW w:w="1590" w:type="pct"/>
                  <w:tcBorders>
                    <w:tl2br w:val="nil"/>
                    <w:tr2bl w:val="nil"/>
                  </w:tcBorders>
                  <w:noWrap w:val="0"/>
                  <w:vAlign w:val="center"/>
                </w:tcPr>
                <w:p>
                  <w:pPr>
                    <w:widowControl/>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sz w:val="21"/>
                      <w:szCs w:val="21"/>
                      <w:highlight w:val="none"/>
                      <w:lang w:val="en-US" w:eastAsia="zh-CN"/>
                    </w:rPr>
                    <w:t>1.71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一般</w:t>
                  </w:r>
                  <w:r>
                    <w:rPr>
                      <w:rFonts w:hint="default" w:ascii="Times New Roman" w:hAnsi="Times New Roman" w:cs="Times New Roman"/>
                      <w:color w:val="auto"/>
                      <w:sz w:val="21"/>
                      <w:szCs w:val="21"/>
                      <w:lang w:val="en-US" w:eastAsia="zh-CN"/>
                    </w:rPr>
                    <w:t>固废</w:t>
                  </w: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清洗</w:t>
                  </w:r>
                  <w:r>
                    <w:rPr>
                      <w:rFonts w:hint="eastAsia" w:ascii="Times New Roman" w:hAnsi="Times New Roman"/>
                      <w:color w:val="auto"/>
                      <w:sz w:val="21"/>
                      <w:szCs w:val="21"/>
                      <w:lang w:val="en-US" w:eastAsia="zh-CN"/>
                    </w:rPr>
                    <w:t>沉淀池</w:t>
                  </w:r>
                  <w:r>
                    <w:rPr>
                      <w:rFonts w:hint="eastAsia" w:ascii="Times New Roman" w:hAnsi="Times New Roman"/>
                      <w:color w:val="auto"/>
                      <w:sz w:val="21"/>
                      <w:szCs w:val="21"/>
                    </w:rPr>
                    <w:t>产生</w:t>
                  </w:r>
                  <w:r>
                    <w:rPr>
                      <w:rFonts w:hint="eastAsia" w:ascii="Times New Roman" w:hAnsi="Times New Roman"/>
                      <w:color w:val="auto"/>
                      <w:sz w:val="21"/>
                      <w:szCs w:val="21"/>
                      <w:lang w:val="en-US" w:eastAsia="zh-CN"/>
                    </w:rPr>
                    <w:t>池污泥</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bCs/>
                      <w:color w:val="auto"/>
                      <w:sz w:val="21"/>
                      <w:szCs w:val="21"/>
                    </w:rPr>
                    <w:t>1</w:t>
                  </w:r>
                  <w:r>
                    <w:rPr>
                      <w:rFonts w:hint="eastAsia" w:ascii="Times New Roman" w:hAnsi="Times New Roman" w:eastAsia="宋体"/>
                      <w:bCs/>
                      <w:color w:val="auto"/>
                      <w:sz w:val="21"/>
                      <w:szCs w:val="21"/>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废包装材料</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次品丝</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ascii="Times New Roman" w:hAnsi="Times New Roman" w:eastAsia="宋体"/>
                      <w:bCs/>
                      <w:color w:val="auto"/>
                      <w:sz w:val="21"/>
                      <w:szCs w:val="21"/>
                    </w:rPr>
                    <w:t>生活垃圾</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ascii="Times New Roman" w:hAnsi="Times New Roman" w:eastAsia="宋体"/>
                      <w:bCs/>
                      <w:color w:val="auto"/>
                      <w:sz w:val="21"/>
                      <w:szCs w:val="21"/>
                    </w:rPr>
                    <w:t>废过滤棉</w:t>
                  </w:r>
                </w:p>
              </w:tc>
              <w:tc>
                <w:tcPr>
                  <w:tcW w:w="1590" w:type="pct"/>
                  <w:tcBorders>
                    <w:tl2br w:val="nil"/>
                    <w:tr2bl w:val="nil"/>
                  </w:tcBorders>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ascii="Times New Roman" w:hAnsi="Times New Roman" w:eastAsia="宋体"/>
                      <w:bCs/>
                      <w:color w:val="auto"/>
                      <w:sz w:val="21"/>
                      <w:szCs w:val="21"/>
                    </w:rPr>
                    <w:t>1410m</w:t>
                  </w:r>
                  <w:r>
                    <w:rPr>
                      <w:rFonts w:ascii="Times New Roman" w:hAnsi="Times New Roman" w:eastAsia="宋体"/>
                      <w:bCs/>
                      <w:color w:val="auto"/>
                      <w:sz w:val="21"/>
                      <w:szCs w:val="21"/>
                      <w:vertAlign w:val="superscript"/>
                    </w:rPr>
                    <w:t>2</w:t>
                  </w:r>
                  <w:r>
                    <w:rPr>
                      <w:rFonts w:ascii="Times New Roman" w:hAnsi="Times New Roman" w:eastAsia="宋体"/>
                      <w:bCs/>
                      <w:color w:val="auto"/>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除尘灰</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kern w:val="0"/>
                      <w:sz w:val="21"/>
                      <w:szCs w:val="21"/>
                      <w:lang w:val="en-US" w:eastAsia="zh-CN" w:bidi="ar-SA"/>
                    </w:rPr>
                  </w:pPr>
                  <w:r>
                    <w:rPr>
                      <w:rFonts w:hint="eastAsia" w:ascii="Times New Roman" w:hAnsi="Times New Roman" w:eastAsia="宋体"/>
                      <w:color w:val="auto"/>
                      <w:sz w:val="21"/>
                      <w:szCs w:val="21"/>
                      <w:lang w:val="en-US" w:eastAsia="zh-CN"/>
                    </w:rPr>
                    <w:t>2.67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lang w:val="en-US" w:eastAsia="zh-CN"/>
                    </w:rPr>
                    <w:t>污水处理污泥</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lang w:val="en-US" w:eastAsia="zh-CN"/>
                    </w:rPr>
                    <w:t>隔油池污泥</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预处理池污泥</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1858" w:type="pct"/>
                  <w:tcBorders>
                    <w:tl2br w:val="nil"/>
                    <w:tr2bl w:val="nil"/>
                  </w:tcBorders>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eastAsia" w:ascii="宋体" w:hAnsi="宋体" w:eastAsia="宋体" w:cs="宋体"/>
                      <w:color w:val="auto"/>
                      <w:sz w:val="21"/>
                      <w:szCs w:val="21"/>
                    </w:rPr>
                    <w:t>清</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沉淀池</w:t>
                  </w:r>
                  <w:r>
                    <w:rPr>
                      <w:rFonts w:hint="eastAsia" w:ascii="Times New Roman" w:hAnsi="Times New Roman" w:eastAsia="宋体" w:cs="宋体"/>
                      <w:bCs/>
                      <w:color w:val="auto"/>
                      <w:sz w:val="21"/>
                      <w:szCs w:val="21"/>
                    </w:rPr>
                    <w:t>浮油</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eastAsia="宋体"/>
                      <w:bCs/>
                      <w:color w:val="auto"/>
                      <w:sz w:val="21"/>
                      <w:szCs w:val="21"/>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ascii="Times New Roman" w:hAnsi="Times New Roman" w:eastAsia="宋体"/>
                      <w:bCs/>
                      <w:color w:val="auto"/>
                      <w:sz w:val="21"/>
                      <w:szCs w:val="21"/>
                    </w:rPr>
                    <w:t>废过滤网</w:t>
                  </w:r>
                </w:p>
              </w:tc>
              <w:tc>
                <w:tcPr>
                  <w:tcW w:w="1590" w:type="pct"/>
                  <w:tcBorders>
                    <w:tl2br w:val="nil"/>
                    <w:tr2bl w:val="nil"/>
                  </w:tcBorders>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楷体_GB2312" w:cs="Times New Roman"/>
                      <w:color w:val="auto"/>
                      <w:spacing w:val="-2"/>
                      <w:kern w:val="0"/>
                      <w:sz w:val="21"/>
                      <w:szCs w:val="21"/>
                      <w:lang w:val="en-US" w:eastAsia="zh-CN" w:bidi="ar-SA"/>
                    </w:rPr>
                  </w:pPr>
                  <w:r>
                    <w:rPr>
                      <w:rFonts w:ascii="Times New Roman" w:hAnsi="Times New Roman" w:eastAsia="宋体"/>
                      <w:bCs/>
                      <w:color w:val="auto"/>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jc w:val="center"/>
                    <w:rPr>
                      <w:color w:val="auto"/>
                    </w:rPr>
                  </w:pPr>
                  <w:r>
                    <w:rPr>
                      <w:rFonts w:hint="eastAsia" w:ascii="Times New Roman" w:hAnsi="Times New Roman" w:eastAsia="宋体"/>
                      <w:color w:val="auto"/>
                      <w:sz w:val="21"/>
                      <w:szCs w:val="21"/>
                    </w:rPr>
                    <w:t>废UV灯管</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jc w:val="center"/>
                    <w:rPr>
                      <w:color w:val="auto"/>
                    </w:rPr>
                  </w:pPr>
                  <w:r>
                    <w:rPr>
                      <w:rFonts w:hint="eastAsia" w:ascii="Times New Roman" w:hAnsi="Times New Roman" w:eastAsia="宋体"/>
                      <w:bCs/>
                      <w:color w:val="auto"/>
                      <w:sz w:val="21"/>
                      <w:szCs w:val="21"/>
                    </w:rPr>
                    <w:t>废机油桶、齿轮油桶</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jc w:val="center"/>
                    <w:rPr>
                      <w:color w:val="auto"/>
                    </w:rPr>
                  </w:pPr>
                  <w:r>
                    <w:rPr>
                      <w:rFonts w:hint="eastAsia" w:ascii="Times New Roman" w:hAnsi="Times New Roman" w:eastAsia="宋体"/>
                      <w:color w:val="auto"/>
                      <w:sz w:val="21"/>
                      <w:szCs w:val="21"/>
                    </w:rPr>
                    <w:t>废活性炭</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21"/>
                      <w:lang w:val="en-US" w:eastAsia="zh-CN"/>
                    </w:rPr>
                    <w:t>21.87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eastAsia="宋体"/>
                <w:color w:val="auto"/>
                <w:szCs w:val="21"/>
                <w:lang w:val="en-US" w:eastAsia="zh-CN"/>
              </w:rPr>
            </w:pPr>
          </w:p>
        </w:tc>
      </w:tr>
    </w:tbl>
    <w:p>
      <w:pPr>
        <w:pStyle w:val="25"/>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85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62" w:type="dxa"/>
            <w:noWrap w:val="0"/>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auto"/>
                <w:kern w:val="0"/>
                <w:szCs w:val="21"/>
              </w:rPr>
            </w:pPr>
            <w:r>
              <w:rPr>
                <w:color w:val="auto"/>
                <w:kern w:val="0"/>
                <w:szCs w:val="21"/>
              </w:rPr>
              <w:t>现状</w:t>
            </w:r>
          </w:p>
        </w:tc>
        <w:tc>
          <w:tcPr>
            <w:tcW w:w="8599" w:type="dxa"/>
            <w:noWrap w:val="0"/>
            <w:vAlign w:val="center"/>
          </w:tcPr>
          <w:p>
            <w:pPr>
              <w:spacing w:line="360" w:lineRule="auto"/>
              <w:jc w:val="left"/>
              <w:rPr>
                <w:color w:val="auto"/>
                <w:sz w:val="24"/>
                <w:szCs w:val="24"/>
              </w:rPr>
            </w:pPr>
            <w:r>
              <w:rPr>
                <w:b/>
                <w:bCs/>
                <w:color w:val="auto"/>
                <w:sz w:val="24"/>
                <w:szCs w:val="24"/>
              </w:rPr>
              <w:t>一</w:t>
            </w:r>
            <w:r>
              <w:rPr>
                <w:rFonts w:hint="eastAsia"/>
                <w:b/>
                <w:bCs/>
                <w:color w:val="auto"/>
                <w:sz w:val="24"/>
                <w:szCs w:val="24"/>
                <w:lang w:eastAsia="zh-CN"/>
              </w:rPr>
              <w:t>、</w:t>
            </w:r>
            <w:r>
              <w:rPr>
                <w:b/>
                <w:bCs/>
                <w:color w:val="auto"/>
                <w:sz w:val="24"/>
                <w:szCs w:val="24"/>
              </w:rPr>
              <w:t>区域环境空气质量</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1、区域环境质量达标情况分析</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根据《建设项目环境影响报告表编制技术指南污染影响类（试行）》：</w:t>
            </w:r>
            <w:r>
              <w:rPr>
                <w:rFonts w:hint="eastAsia"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区域</w:t>
            </w:r>
            <w:r>
              <w:rPr>
                <w:rFonts w:hint="eastAsia" w:ascii="Times New Roman" w:hAnsi="Times New Roman" w:cs="Times New Roman"/>
                <w:color w:val="auto"/>
                <w:sz w:val="24"/>
                <w:szCs w:val="24"/>
                <w:lang w:val="en-US" w:eastAsia="zh-CN"/>
              </w:rPr>
              <w:t>大气</w:t>
            </w:r>
            <w:r>
              <w:rPr>
                <w:rFonts w:hint="default" w:ascii="Times New Roman" w:hAnsi="Times New Roman" w:cs="Times New Roman"/>
                <w:color w:val="auto"/>
                <w:sz w:val="24"/>
                <w:szCs w:val="24"/>
              </w:rPr>
              <w:t>环境质量现状常规污染物引用与建设项目距离近的有效数据，包括近 3 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 1 个点位补充不少于3天的监测数据。</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left"/>
              <w:textAlignment w:val="auto"/>
              <w:rPr>
                <w:rFonts w:hint="eastAsia" w:ascii="Times New Roman" w:hAnsi="Times New Roman" w:eastAsia="宋体" w:cs="Times New Roman"/>
                <w:b/>
                <w:color w:val="auto"/>
                <w:sz w:val="24"/>
                <w:szCs w:val="24"/>
                <w:lang w:eastAsia="zh-CN"/>
              </w:rPr>
            </w:pPr>
            <w:r>
              <w:rPr>
                <w:rFonts w:hint="default" w:ascii="Times New Roman" w:hAnsi="Times New Roman" w:cs="Times New Roman"/>
                <w:color w:val="auto"/>
                <w:sz w:val="24"/>
                <w:szCs w:val="24"/>
              </w:rPr>
              <w:t>本项目所在地环境空气功能区为二类，</w:t>
            </w:r>
            <w:r>
              <w:rPr>
                <w:rFonts w:hint="default" w:ascii="Times New Roman" w:hAnsi="Times New Roman" w:cs="Times New Roman"/>
                <w:color w:val="auto"/>
                <w:spacing w:val="-4"/>
                <w:sz w:val="24"/>
                <w:szCs w:val="24"/>
              </w:rPr>
              <w:t>因此，环境空气质量现状评价采用《环境空气质量标准》</w:t>
            </w:r>
            <w:r>
              <w:rPr>
                <w:rFonts w:hint="default" w:ascii="Times New Roman" w:hAnsi="Times New Roman" w:cs="Times New Roman"/>
                <w:color w:val="auto"/>
                <w:spacing w:val="-4"/>
                <w:sz w:val="24"/>
                <w:szCs w:val="24"/>
                <w:lang w:eastAsia="zh-CN"/>
              </w:rPr>
              <w:t>（</w:t>
            </w:r>
            <w:r>
              <w:rPr>
                <w:rFonts w:hint="default" w:ascii="Times New Roman" w:hAnsi="Times New Roman" w:cs="Times New Roman"/>
                <w:color w:val="auto"/>
                <w:spacing w:val="-4"/>
                <w:sz w:val="24"/>
                <w:szCs w:val="24"/>
              </w:rPr>
              <w:t>GB3095-2012</w:t>
            </w:r>
            <w:r>
              <w:rPr>
                <w:rFonts w:hint="default" w:ascii="Times New Roman" w:hAnsi="Times New Roman" w:cs="Times New Roman"/>
                <w:color w:val="auto"/>
                <w:spacing w:val="-4"/>
                <w:sz w:val="24"/>
                <w:szCs w:val="24"/>
                <w:lang w:eastAsia="zh-CN"/>
              </w:rPr>
              <w:t>）</w:t>
            </w:r>
            <w:r>
              <w:rPr>
                <w:rFonts w:hint="default" w:ascii="Times New Roman" w:hAnsi="Times New Roman" w:cs="Times New Roman"/>
                <w:color w:val="auto"/>
                <w:spacing w:val="-4"/>
                <w:sz w:val="24"/>
                <w:szCs w:val="24"/>
              </w:rPr>
              <w:t>及其修改单（生态环境部2018年第29号）中的二级标准。根据乐山市生态环境局网站上公布的《2020年乐山市环境质量公报》</w:t>
            </w:r>
            <w:r>
              <w:rPr>
                <w:rFonts w:hint="default" w:ascii="Times New Roman" w:hAnsi="Times New Roman" w:cs="Times New Roman"/>
                <w:color w:val="auto"/>
                <w:spacing w:val="-4"/>
                <w:sz w:val="24"/>
                <w:szCs w:val="24"/>
                <w:lang w:eastAsia="zh-CN"/>
              </w:rPr>
              <w:t>。</w:t>
            </w:r>
            <w:r>
              <w:rPr>
                <w:rFonts w:hint="default" w:ascii="Times New Roman" w:hAnsi="Times New Roman" w:cs="Times New Roman"/>
                <w:color w:val="auto"/>
                <w:spacing w:val="-4"/>
                <w:sz w:val="24"/>
                <w:szCs w:val="24"/>
              </w:rPr>
              <w:t>乐山市环境空气</w:t>
            </w:r>
            <w:r>
              <w:rPr>
                <w:rFonts w:hint="eastAsia" w:ascii="Times New Roman" w:hAnsi="Times New Roman" w:cs="Times New Roman"/>
                <w:color w:val="auto"/>
                <w:spacing w:val="-4"/>
                <w:sz w:val="24"/>
                <w:szCs w:val="24"/>
                <w:lang w:val="en-US" w:eastAsia="zh-CN"/>
              </w:rPr>
              <w:t>质量如下：</w:t>
            </w:r>
          </w:p>
          <w:p>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2020年乐山市11个县（区、市）环境空气中二氧化硫、二氧化氮、可吸入颗粒物和细颗粒物年均浓度分别为11μg/m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、23μg/m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、、55μg/m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和34μg/m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，均达到国家环境空气质量二级标准，同比分别下降16</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rPr>
              <w:t>5％、4</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rPr>
              <w:t>1％、11</w:t>
            </w:r>
            <w:r>
              <w:rPr>
                <w:rFonts w:hint="eastAsia" w:ascii="Times New Roman" w:hAnsi="Times New Roman" w:cs="Times New Roman"/>
                <w:b w:val="0"/>
                <w:bCs w:val="0"/>
                <w:color w:val="auto"/>
                <w:sz w:val="24"/>
                <w:szCs w:val="24"/>
                <w:lang w:val="en-US" w:eastAsia="zh-CN"/>
              </w:rPr>
              <w:t>.5</w:t>
            </w:r>
            <w:r>
              <w:rPr>
                <w:rFonts w:hint="default" w:ascii="Times New Roman" w:hAnsi="Times New Roman" w:cs="Times New Roman"/>
                <w:b w:val="0"/>
                <w:bCs w:val="0"/>
                <w:color w:val="auto"/>
                <w:sz w:val="24"/>
                <w:szCs w:val="24"/>
              </w:rPr>
              <w:t>％和12</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rPr>
              <w:t>2％；一氧化碳24小时平均第95百分位数浓度均值为1</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rPr>
              <w:t>1mg/m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，达到国家环境空气质量二级标准，同比下降19</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rPr>
              <w:t>9％；臭氧日最大8小时滑动平均浓度为126μg/m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，达到国家环境空气质量二级标准，同比上升3</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rPr>
              <w:t>8％。</w:t>
            </w:r>
            <w:r>
              <w:rPr>
                <w:rFonts w:hint="default" w:ascii="Times New Roman" w:hAnsi="Times New Roman" w:cs="Times New Roman"/>
                <w:color w:val="auto"/>
                <w:spacing w:val="-4"/>
                <w:sz w:val="24"/>
                <w:szCs w:val="24"/>
              </w:rPr>
              <w:t>乐山市环境空气</w:t>
            </w:r>
            <w:r>
              <w:rPr>
                <w:rFonts w:hint="eastAsia" w:ascii="Times New Roman" w:hAnsi="Times New Roman" w:cs="Times New Roman"/>
                <w:color w:val="auto"/>
                <w:spacing w:val="-4"/>
                <w:sz w:val="24"/>
                <w:szCs w:val="24"/>
                <w:lang w:val="en-US" w:eastAsia="zh-CN"/>
              </w:rPr>
              <w:t>质量情况见下表：</w:t>
            </w:r>
          </w:p>
          <w:p>
            <w:pPr>
              <w:pStyle w:val="25"/>
              <w:widowControl w:val="0"/>
              <w:spacing w:before="0" w:beforeAutospacing="0" w:after="0" w:afterAutospacing="0"/>
              <w:jc w:val="right"/>
              <w:rPr>
                <w:rFonts w:hint="eastAsia" w:ascii="Times New Roman" w:hAnsi="Times New Roman" w:eastAsia="宋体" w:cs="Times New Roman"/>
                <w:color w:val="auto"/>
                <w:kern w:val="2"/>
                <w:sz w:val="21"/>
                <w:szCs w:val="21"/>
                <w:lang w:eastAsia="zh-CN"/>
              </w:rPr>
            </w:pPr>
            <w:r>
              <w:rPr>
                <w:rFonts w:hint="default" w:ascii="Times New Roman" w:hAnsi="Times New Roman" w:cs="Times New Roman"/>
                <w:b/>
                <w:bCs/>
                <w:color w:val="auto"/>
                <w:sz w:val="21"/>
                <w:szCs w:val="21"/>
              </w:rPr>
              <w:t xml:space="preserve">表3-1 </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2020年乐山</w:t>
            </w:r>
            <w:r>
              <w:rPr>
                <w:rFonts w:hint="default" w:ascii="Times New Roman" w:hAnsi="Times New Roman" w:cs="Times New Roman"/>
                <w:b/>
                <w:bCs/>
                <w:color w:val="auto"/>
                <w:sz w:val="21"/>
                <w:szCs w:val="21"/>
              </w:rPr>
              <w:t>市环境空气质量统计表</w:t>
            </w:r>
            <w:r>
              <w:rPr>
                <w:rFonts w:hint="eastAsia" w:ascii="Times New Roman" w:hAnsi="Times New Roman" w:cs="Times New Roman"/>
                <w:b/>
                <w:bCs/>
                <w:color w:val="auto"/>
                <w:sz w:val="21"/>
                <w:szCs w:val="21"/>
                <w:lang w:val="en-US" w:eastAsia="zh-CN"/>
              </w:rPr>
              <w:t xml:space="preserve">     </w:t>
            </w:r>
            <w:r>
              <w:rPr>
                <w:rFonts w:hint="eastAsia"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CO</w:t>
            </w:r>
            <w:r>
              <w:rPr>
                <w:rFonts w:hint="eastAsia" w:ascii="Times New Roman" w:hAnsi="Times New Roman" w:cs="Times New Roman"/>
                <w:color w:val="auto"/>
                <w:sz w:val="21"/>
                <w:szCs w:val="21"/>
                <w:lang w:val="en-US" w:eastAsia="zh-CN"/>
              </w:rPr>
              <w:t>单位</w:t>
            </w:r>
            <w:r>
              <w:rPr>
                <w:rFonts w:hint="default" w:ascii="Times New Roman" w:hAnsi="Times New Roman" w:cs="Times New Roman"/>
                <w:b w:val="0"/>
                <w:bCs w:val="0"/>
                <w:color w:val="auto"/>
                <w:sz w:val="21"/>
                <w:szCs w:val="21"/>
              </w:rPr>
              <w:t>mg/m</w:t>
            </w:r>
            <w:r>
              <w:rPr>
                <w:rFonts w:hint="default" w:ascii="Times New Roman" w:hAnsi="Times New Roman" w:cs="Times New Roman"/>
                <w:b w:val="0"/>
                <w:bCs w:val="0"/>
                <w:color w:val="auto"/>
                <w:sz w:val="21"/>
                <w:szCs w:val="21"/>
                <w:vertAlign w:val="superscript"/>
              </w:rPr>
              <w:t>3</w:t>
            </w:r>
            <w:r>
              <w:rPr>
                <w:rFonts w:hint="eastAsia" w:ascii="Times New Roman" w:hAnsi="Times New Roman" w:cs="Times New Roman"/>
                <w:b/>
                <w:bCs/>
                <w:color w:val="auto"/>
                <w:sz w:val="21"/>
                <w:szCs w:val="21"/>
                <w:lang w:eastAsia="zh-CN"/>
              </w:rPr>
              <w:t>）</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2789"/>
              <w:gridCol w:w="1261"/>
              <w:gridCol w:w="1095"/>
              <w:gridCol w:w="1078"/>
              <w:gridCol w:w="11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06" w:type="pct"/>
                  <w:shd w:val="clear" w:color="auto" w:fill="DCE6F2" w:themeFill="accent1" w:themeFillTint="3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663" w:type="pct"/>
                  <w:shd w:val="clear" w:color="auto" w:fill="DCE6F2" w:themeFill="accent1" w:themeFillTint="3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年评价指标</w:t>
                  </w:r>
                </w:p>
              </w:tc>
              <w:tc>
                <w:tcPr>
                  <w:tcW w:w="752" w:type="pct"/>
                  <w:shd w:val="clear" w:color="auto" w:fill="DCE6F2" w:themeFill="accent1" w:themeFillTint="3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现状浓度</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μg/m</w:t>
                  </w:r>
                  <w:r>
                    <w:rPr>
                      <w:rFonts w:hint="default" w:ascii="Times New Roman" w:hAnsi="Times New Roman" w:cs="Times New Roman"/>
                      <w:b/>
                      <w:bCs/>
                      <w:color w:val="auto"/>
                      <w:sz w:val="21"/>
                      <w:szCs w:val="21"/>
                      <w:vertAlign w:val="superscript"/>
                    </w:rPr>
                    <w:t>3</w:t>
                  </w:r>
                </w:p>
              </w:tc>
              <w:tc>
                <w:tcPr>
                  <w:tcW w:w="653" w:type="pct"/>
                  <w:shd w:val="clear" w:color="auto" w:fill="DCE6F2" w:themeFill="accent1" w:themeFillTint="3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μg/m</w:t>
                  </w:r>
                  <w:r>
                    <w:rPr>
                      <w:rFonts w:hint="default" w:ascii="Times New Roman" w:hAnsi="Times New Roman" w:cs="Times New Roman"/>
                      <w:b/>
                      <w:bCs/>
                      <w:color w:val="auto"/>
                      <w:sz w:val="21"/>
                      <w:szCs w:val="21"/>
                      <w:vertAlign w:val="superscript"/>
                    </w:rPr>
                    <w:t>3</w:t>
                  </w:r>
                </w:p>
              </w:tc>
              <w:tc>
                <w:tcPr>
                  <w:tcW w:w="643" w:type="pct"/>
                  <w:shd w:val="clear" w:color="auto" w:fill="DCE6F2" w:themeFill="accent1" w:themeFillTint="32"/>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占标率（%）</w:t>
                  </w:r>
                </w:p>
              </w:tc>
              <w:tc>
                <w:tcPr>
                  <w:tcW w:w="680" w:type="pct"/>
                  <w:shd w:val="clear" w:color="auto" w:fill="DCE6F2" w:themeFill="accent1" w:themeFillTint="3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66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52"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65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64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18.33</w:t>
                  </w:r>
                </w:p>
              </w:tc>
              <w:tc>
                <w:tcPr>
                  <w:tcW w:w="680"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166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52"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c>
                <w:tcPr>
                  <w:tcW w:w="65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64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57.5</w:t>
                  </w:r>
                </w:p>
              </w:tc>
              <w:tc>
                <w:tcPr>
                  <w:tcW w:w="680"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0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66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24h平均第95百分位数质量浓度</w:t>
                  </w:r>
                </w:p>
              </w:tc>
              <w:tc>
                <w:tcPr>
                  <w:tcW w:w="752"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1</w:t>
                  </w:r>
                </w:p>
              </w:tc>
              <w:tc>
                <w:tcPr>
                  <w:tcW w:w="65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4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27.5</w:t>
                  </w:r>
                </w:p>
              </w:tc>
              <w:tc>
                <w:tcPr>
                  <w:tcW w:w="680"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0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166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日最大8h平均第90百分位数质量浓度</w:t>
                  </w:r>
                </w:p>
              </w:tc>
              <w:tc>
                <w:tcPr>
                  <w:tcW w:w="752"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126</w:t>
                  </w:r>
                </w:p>
              </w:tc>
              <w:tc>
                <w:tcPr>
                  <w:tcW w:w="65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64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78.75</w:t>
                  </w:r>
                </w:p>
              </w:tc>
              <w:tc>
                <w:tcPr>
                  <w:tcW w:w="680"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0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166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52"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65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64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78.57</w:t>
                  </w:r>
                </w:p>
              </w:tc>
              <w:tc>
                <w:tcPr>
                  <w:tcW w:w="680"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0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166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52"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w:t>
                  </w:r>
                </w:p>
              </w:tc>
              <w:tc>
                <w:tcPr>
                  <w:tcW w:w="65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64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97.14</w:t>
                  </w:r>
                </w:p>
              </w:tc>
              <w:tc>
                <w:tcPr>
                  <w:tcW w:w="680"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pStyle w:val="10"/>
              <w:spacing w:before="0" w:after="0" w:line="360" w:lineRule="auto"/>
              <w:ind w:right="0" w:firstLine="464" w:firstLineChars="200"/>
              <w:rPr>
                <w:rFonts w:hint="default" w:ascii="Times New Roman" w:hAnsi="Times New Roman" w:cs="Times New Roman"/>
                <w:color w:val="auto"/>
                <w:spacing w:val="-4"/>
                <w:sz w:val="24"/>
                <w:szCs w:val="24"/>
              </w:rPr>
            </w:pPr>
            <w:r>
              <w:rPr>
                <w:rFonts w:hint="default" w:ascii="Times New Roman" w:hAnsi="Times New Roman" w:cs="Times New Roman"/>
                <w:color w:val="auto"/>
                <w:spacing w:val="-4"/>
                <w:sz w:val="24"/>
                <w:szCs w:val="24"/>
              </w:rPr>
              <w:t>根据上表可知，</w:t>
            </w:r>
            <w:r>
              <w:rPr>
                <w:rFonts w:hint="default" w:ascii="Times New Roman" w:hAnsi="Times New Roman" w:cs="Times New Roman"/>
                <w:color w:val="auto"/>
                <w:spacing w:val="-4"/>
                <w:sz w:val="24"/>
                <w:szCs w:val="24"/>
                <w:lang w:val="en-US" w:eastAsia="zh-CN"/>
              </w:rPr>
              <w:t>2020年乐山</w:t>
            </w:r>
            <w:r>
              <w:rPr>
                <w:rFonts w:hint="default" w:ascii="Times New Roman" w:hAnsi="Times New Roman" w:cs="Times New Roman"/>
                <w:color w:val="auto"/>
                <w:spacing w:val="-4"/>
                <w:sz w:val="24"/>
                <w:szCs w:val="24"/>
              </w:rPr>
              <w:t>市SO</w:t>
            </w:r>
            <w:r>
              <w:rPr>
                <w:rFonts w:hint="default" w:ascii="Times New Roman" w:hAnsi="Times New Roman" w:cs="Times New Roman"/>
                <w:color w:val="auto"/>
                <w:spacing w:val="-4"/>
                <w:sz w:val="24"/>
                <w:szCs w:val="24"/>
                <w:vertAlign w:val="subscript"/>
              </w:rPr>
              <w:t>2</w:t>
            </w:r>
            <w:r>
              <w:rPr>
                <w:rFonts w:hint="default" w:ascii="Times New Roman" w:hAnsi="Times New Roman" w:cs="Times New Roman"/>
                <w:color w:val="auto"/>
                <w:spacing w:val="-4"/>
                <w:sz w:val="24"/>
                <w:szCs w:val="24"/>
              </w:rPr>
              <w:t>、</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w:t>
            </w:r>
            <w:r>
              <w:rPr>
                <w:rFonts w:hint="default" w:ascii="Times New Roman" w:hAnsi="Times New Roman" w:cs="Times New Roman"/>
                <w:color w:val="auto"/>
                <w:spacing w:val="-4"/>
                <w:sz w:val="24"/>
                <w:szCs w:val="24"/>
              </w:rPr>
              <w:t>CO、O</w:t>
            </w:r>
            <w:r>
              <w:rPr>
                <w:rFonts w:hint="default" w:ascii="Times New Roman" w:hAnsi="Times New Roman" w:cs="Times New Roman"/>
                <w:color w:val="auto"/>
                <w:spacing w:val="-4"/>
                <w:sz w:val="24"/>
                <w:szCs w:val="24"/>
                <w:vertAlign w:val="subscript"/>
              </w:rPr>
              <w:t>3</w:t>
            </w:r>
            <w:r>
              <w:rPr>
                <w:rFonts w:hint="default" w:ascii="Times New Roman" w:hAnsi="Times New Roman" w:cs="Times New Roman"/>
                <w:color w:val="auto"/>
                <w:spacing w:val="-4"/>
                <w:sz w:val="24"/>
                <w:szCs w:val="24"/>
              </w:rPr>
              <w:t>、PM</w:t>
            </w:r>
            <w:r>
              <w:rPr>
                <w:rFonts w:hint="default" w:ascii="Times New Roman" w:hAnsi="Times New Roman" w:cs="Times New Roman"/>
                <w:color w:val="auto"/>
                <w:spacing w:val="-4"/>
                <w:sz w:val="24"/>
                <w:szCs w:val="24"/>
                <w:vertAlign w:val="subscript"/>
              </w:rPr>
              <w:t>10</w:t>
            </w:r>
            <w:r>
              <w:rPr>
                <w:rFonts w:hint="default" w:ascii="Times New Roman" w:hAnsi="Times New Roman" w:cs="Times New Roman"/>
                <w:color w:val="auto"/>
                <w:spacing w:val="-4"/>
                <w:sz w:val="24"/>
                <w:szCs w:val="24"/>
                <w:vertAlign w:val="baseline"/>
                <w:lang w:eastAsia="zh-CN"/>
              </w:rPr>
              <w:t>、</w:t>
            </w:r>
            <w:r>
              <w:rPr>
                <w:rFonts w:hint="default" w:ascii="Times New Roman" w:hAnsi="Times New Roman" w:cs="Times New Roman"/>
                <w:color w:val="auto"/>
                <w:spacing w:val="-4"/>
                <w:sz w:val="24"/>
                <w:szCs w:val="24"/>
              </w:rPr>
              <w:t>PM</w:t>
            </w:r>
            <w:r>
              <w:rPr>
                <w:rFonts w:hint="default" w:ascii="Times New Roman" w:hAnsi="Times New Roman" w:cs="Times New Roman"/>
                <w:color w:val="auto"/>
                <w:spacing w:val="-4"/>
                <w:sz w:val="24"/>
                <w:szCs w:val="24"/>
                <w:vertAlign w:val="subscript"/>
              </w:rPr>
              <w:t>2.5</w:t>
            </w:r>
            <w:r>
              <w:rPr>
                <w:rFonts w:hint="default" w:ascii="Times New Roman" w:hAnsi="Times New Roman" w:cs="Times New Roman"/>
                <w:color w:val="auto"/>
                <w:spacing w:val="-4"/>
                <w:sz w:val="24"/>
                <w:szCs w:val="24"/>
              </w:rPr>
              <w:t>浓度满足《环境空气质量标准》（GB3095-2012）二级标准要求，因此本项目所在</w:t>
            </w:r>
            <w:r>
              <w:rPr>
                <w:rFonts w:hint="default" w:ascii="Times New Roman" w:hAnsi="Times New Roman" w:cs="Times New Roman"/>
                <w:color w:val="auto"/>
                <w:spacing w:val="-4"/>
                <w:sz w:val="24"/>
                <w:szCs w:val="24"/>
                <w:lang w:val="en-US" w:eastAsia="zh-CN"/>
              </w:rPr>
              <w:t>区域为环境空气质量</w:t>
            </w:r>
            <w:r>
              <w:rPr>
                <w:rFonts w:hint="default" w:ascii="Times New Roman" w:hAnsi="Times New Roman" w:cs="Times New Roman"/>
                <w:color w:val="auto"/>
                <w:spacing w:val="-4"/>
                <w:sz w:val="24"/>
                <w:szCs w:val="24"/>
              </w:rPr>
              <w:t>达标区。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rPr>
            </w:pPr>
            <w:r>
              <w:rPr>
                <w:b/>
                <w:bCs/>
                <w:color w:val="auto"/>
                <w:sz w:val="24"/>
                <w:szCs w:val="24"/>
              </w:rPr>
              <w:t>2、特征污染物环境质量现状（</w:t>
            </w:r>
            <w:r>
              <w:rPr>
                <w:rFonts w:hint="eastAsia"/>
                <w:b/>
                <w:bCs/>
                <w:color w:val="auto"/>
                <w:sz w:val="24"/>
                <w:szCs w:val="24"/>
              </w:rPr>
              <w:t>非甲烷总烃、TSP、臭气浓度</w:t>
            </w:r>
            <w:r>
              <w:rPr>
                <w:b/>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rPr>
            </w:pPr>
            <w:r>
              <w:rPr>
                <w:rFonts w:ascii="Times New Roman" w:hAnsi="Times New Roman"/>
                <w:color w:val="auto"/>
                <w:sz w:val="24"/>
                <w:szCs w:val="24"/>
              </w:rPr>
              <w:t>本次评价按照《环境影响评价技术导则—大气环境》（HJ 2.2-2018）二级评价要求，建设单位乐山图南再生资源回收利用有限公司委托四川华皓检测技术有限公司于2020年08月11日至2020年08月25日对区域空气环境质量进行了补充监测，委托具体情况如下：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olor w:val="auto"/>
                <w:sz w:val="24"/>
                <w:szCs w:val="24"/>
              </w:rPr>
            </w:pPr>
            <w:r>
              <w:rPr>
                <w:rFonts w:ascii="Times New Roman" w:hAnsi="Times New Roman"/>
                <w:color w:val="auto"/>
                <w:sz w:val="24"/>
                <w:szCs w:val="24"/>
              </w:rPr>
              <w:t>（1）监测布点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olor w:val="auto"/>
                <w:sz w:val="24"/>
                <w:szCs w:val="24"/>
              </w:rPr>
            </w:pPr>
            <w:r>
              <w:rPr>
                <w:rFonts w:ascii="Times New Roman" w:hAnsi="Times New Roman"/>
                <w:color w:val="auto"/>
                <w:sz w:val="24"/>
                <w:szCs w:val="24"/>
              </w:rPr>
              <w:t>大气现状监测共布设2个大气采样点，监测点位置见下表。</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表3-</w:t>
            </w:r>
            <w:r>
              <w:rPr>
                <w:rFonts w:hint="eastAsia" w:ascii="Times New Roman" w:hAnsi="Times New Roman"/>
                <w:b/>
                <w:bCs/>
                <w:color w:val="auto"/>
                <w:sz w:val="21"/>
                <w:szCs w:val="21"/>
                <w:lang w:val="en-US" w:eastAsia="zh-CN"/>
              </w:rPr>
              <w:t>2</w:t>
            </w:r>
            <w:r>
              <w:rPr>
                <w:rFonts w:ascii="Times New Roman" w:hAnsi="Times New Roman"/>
                <w:b/>
                <w:bCs/>
                <w:color w:val="auto"/>
                <w:sz w:val="21"/>
                <w:szCs w:val="21"/>
              </w:rPr>
              <w:t xml:space="preserve">  大气环境质量现状监测布点列表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4679"/>
              <w:gridCol w:w="27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582"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编号</w:t>
                  </w:r>
                </w:p>
              </w:tc>
              <w:tc>
                <w:tcPr>
                  <w:tcW w:w="2791"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监测点位</w:t>
                  </w:r>
                </w:p>
              </w:tc>
              <w:tc>
                <w:tcPr>
                  <w:tcW w:w="1626"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279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项目场址中心</w:t>
                  </w:r>
                </w:p>
              </w:tc>
              <w:tc>
                <w:tcPr>
                  <w:tcW w:w="1626"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环境空气功能二类区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58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w:t>
                  </w:r>
                </w:p>
              </w:tc>
              <w:tc>
                <w:tcPr>
                  <w:tcW w:w="279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项目场址常年主导风向下风向106m居民处</w:t>
                  </w:r>
                </w:p>
              </w:tc>
              <w:tc>
                <w:tcPr>
                  <w:tcW w:w="1626" w:type="pct"/>
                  <w:vMerge w:val="continue"/>
                  <w:noWrap w:val="0"/>
                  <w:vAlign w:val="center"/>
                </w:tcPr>
                <w:p>
                  <w:pPr>
                    <w:spacing w:line="240" w:lineRule="auto"/>
                    <w:jc w:val="center"/>
                    <w:rPr>
                      <w:rFonts w:ascii="Times New Roman" w:hAnsi="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jc w:val="left"/>
              <w:textAlignment w:val="auto"/>
              <w:rPr>
                <w:rFonts w:ascii="Times New Roman" w:hAnsi="Times New Roman"/>
                <w:color w:val="auto"/>
                <w:sz w:val="24"/>
                <w:szCs w:val="24"/>
              </w:rPr>
            </w:pPr>
            <w:r>
              <w:rPr>
                <w:rFonts w:ascii="Times New Roman" w:hAnsi="Times New Roman"/>
                <w:color w:val="auto"/>
                <w:sz w:val="24"/>
                <w:szCs w:val="24"/>
              </w:rPr>
              <w:t>（2）监测项目</w:t>
            </w:r>
          </w:p>
          <w:p>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jc w:val="left"/>
              <w:textAlignment w:val="auto"/>
              <w:rPr>
                <w:rFonts w:ascii="Times New Roman" w:hAnsi="Times New Roman"/>
                <w:color w:val="auto"/>
                <w:sz w:val="24"/>
                <w:szCs w:val="24"/>
              </w:rPr>
            </w:pPr>
            <w:r>
              <w:rPr>
                <w:rFonts w:ascii="Times New Roman" w:hAnsi="Times New Roman"/>
                <w:color w:val="auto"/>
                <w:sz w:val="24"/>
                <w:szCs w:val="24"/>
              </w:rPr>
              <w:t>非甲烷总烃、TSP、臭气浓度。</w:t>
            </w:r>
          </w:p>
          <w:p>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jc w:val="left"/>
              <w:textAlignment w:val="auto"/>
              <w:rPr>
                <w:rFonts w:ascii="Times New Roman" w:hAnsi="Times New Roman"/>
                <w:color w:val="auto"/>
                <w:sz w:val="24"/>
                <w:szCs w:val="24"/>
              </w:rPr>
            </w:pPr>
            <w:r>
              <w:rPr>
                <w:rFonts w:ascii="Times New Roman" w:hAnsi="Times New Roman"/>
                <w:color w:val="auto"/>
                <w:sz w:val="24"/>
                <w:szCs w:val="24"/>
              </w:rPr>
              <w:t>（3）监测频次及时间</w:t>
            </w:r>
          </w:p>
          <w:p>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jc w:val="left"/>
              <w:textAlignment w:val="auto"/>
              <w:rPr>
                <w:rFonts w:ascii="Times New Roman" w:hAnsi="Times New Roman"/>
                <w:color w:val="auto"/>
                <w:sz w:val="24"/>
                <w:szCs w:val="24"/>
              </w:rPr>
            </w:pPr>
            <w:r>
              <w:rPr>
                <w:rFonts w:ascii="Times New Roman" w:hAnsi="Times New Roman"/>
                <w:color w:val="auto"/>
                <w:sz w:val="24"/>
                <w:szCs w:val="24"/>
              </w:rPr>
              <w:t>监测7天，臭气浓度每天1次，其余每天4次。</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（4）执行标准</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《环境空气质量标准》（GB3095-2012）、《大气污染物综合排放标准详解》（GB16297-1996）。</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（5）监测项目及分析方法</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表</w:t>
            </w:r>
            <w:r>
              <w:rPr>
                <w:rFonts w:hint="eastAsia" w:ascii="Times New Roman" w:hAnsi="Times New Roman" w:eastAsia="宋体"/>
                <w:b/>
                <w:bCs/>
                <w:color w:val="auto"/>
                <w:sz w:val="21"/>
                <w:szCs w:val="21"/>
              </w:rPr>
              <w:t>3</w:t>
            </w:r>
            <w:r>
              <w:rPr>
                <w:rFonts w:ascii="Times New Roman" w:hAnsi="Times New Roman" w:eastAsia="宋体"/>
                <w:b/>
                <w:bCs/>
                <w:color w:val="auto"/>
                <w:sz w:val="21"/>
                <w:szCs w:val="21"/>
              </w:rPr>
              <w:t>-</w:t>
            </w:r>
            <w:r>
              <w:rPr>
                <w:rFonts w:hint="eastAsia" w:ascii="Times New Roman" w:hAnsi="Times New Roman" w:eastAsia="宋体"/>
                <w:b/>
                <w:bCs/>
                <w:color w:val="auto"/>
                <w:sz w:val="21"/>
                <w:szCs w:val="21"/>
                <w:lang w:val="en-US" w:eastAsia="zh-CN"/>
              </w:rPr>
              <w:t>3</w:t>
            </w:r>
            <w:r>
              <w:rPr>
                <w:rFonts w:ascii="Times New Roman" w:hAnsi="Times New Roman" w:eastAsia="宋体"/>
                <w:b/>
                <w:bCs/>
                <w:color w:val="auto"/>
                <w:sz w:val="21"/>
                <w:szCs w:val="21"/>
              </w:rPr>
              <w:t xml:space="preserve">  监测方法及方法来源</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70"/>
              <w:gridCol w:w="1041"/>
              <w:gridCol w:w="2627"/>
              <w:gridCol w:w="1051"/>
              <w:gridCol w:w="3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6" w:hRule="exact"/>
                <w:jc w:val="center"/>
              </w:trPr>
              <w:tc>
                <w:tcPr>
                  <w:tcW w:w="961" w:type="pct"/>
                  <w:gridSpan w:val="2"/>
                  <w:shd w:val="clear" w:color="auto" w:fill="DCE6F2" w:themeFill="accent1" w:themeFillTint="32"/>
                  <w:noWrap w:val="0"/>
                  <w:vAlign w:val="center"/>
                </w:tcPr>
                <w:p>
                  <w:pPr>
                    <w:pStyle w:val="25"/>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ascii="Times New Roman" w:hAnsi="Times New Roman"/>
                      <w:b/>
                      <w:bCs/>
                      <w:color w:val="auto"/>
                      <w:sz w:val="21"/>
                      <w:szCs w:val="21"/>
                    </w:rPr>
                  </w:pPr>
                  <w:r>
                    <w:rPr>
                      <w:rFonts w:ascii="Times New Roman" w:hAnsi="Times New Roman"/>
                      <w:b/>
                      <w:bCs/>
                      <w:color w:val="auto"/>
                      <w:sz w:val="21"/>
                      <w:szCs w:val="21"/>
                    </w:rPr>
                    <w:t>项目类别</w:t>
                  </w:r>
                </w:p>
              </w:tc>
              <w:tc>
                <w:tcPr>
                  <w:tcW w:w="1567" w:type="pct"/>
                  <w:shd w:val="clear" w:color="auto" w:fill="DCE6F2" w:themeFill="accent1" w:themeFillTint="32"/>
                  <w:noWrap w:val="0"/>
                  <w:vAlign w:val="center"/>
                </w:tcPr>
                <w:p>
                  <w:pPr>
                    <w:pStyle w:val="25"/>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ascii="Times New Roman" w:hAnsi="Times New Roman"/>
                      <w:b/>
                      <w:bCs/>
                      <w:color w:val="auto"/>
                      <w:sz w:val="21"/>
                      <w:szCs w:val="21"/>
                    </w:rPr>
                  </w:pPr>
                  <w:r>
                    <w:rPr>
                      <w:rFonts w:ascii="Times New Roman" w:hAnsi="Times New Roman"/>
                      <w:b/>
                      <w:bCs/>
                      <w:color w:val="auto"/>
                      <w:sz w:val="21"/>
                      <w:szCs w:val="21"/>
                    </w:rPr>
                    <w:t>检测方法</w:t>
                  </w:r>
                </w:p>
              </w:tc>
              <w:tc>
                <w:tcPr>
                  <w:tcW w:w="627" w:type="pct"/>
                  <w:shd w:val="clear" w:color="auto" w:fill="DCE6F2" w:themeFill="accent1" w:themeFillTint="32"/>
                  <w:noWrap w:val="0"/>
                  <w:vAlign w:val="center"/>
                </w:tcPr>
                <w:p>
                  <w:pPr>
                    <w:pStyle w:val="25"/>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ascii="Times New Roman" w:hAnsi="Times New Roman"/>
                      <w:b/>
                      <w:bCs/>
                      <w:color w:val="auto"/>
                      <w:sz w:val="21"/>
                      <w:szCs w:val="21"/>
                    </w:rPr>
                  </w:pPr>
                  <w:r>
                    <w:rPr>
                      <w:rFonts w:ascii="Times New Roman" w:hAnsi="Times New Roman"/>
                      <w:b/>
                      <w:bCs/>
                      <w:color w:val="auto"/>
                      <w:sz w:val="21"/>
                      <w:szCs w:val="21"/>
                    </w:rPr>
                    <w:t>检出限</w:t>
                  </w:r>
                </w:p>
              </w:tc>
              <w:tc>
                <w:tcPr>
                  <w:tcW w:w="1843" w:type="pct"/>
                  <w:shd w:val="clear" w:color="auto" w:fill="DCE6F2" w:themeFill="accent1" w:themeFillTint="32"/>
                  <w:noWrap w:val="0"/>
                  <w:vAlign w:val="center"/>
                </w:tcPr>
                <w:p>
                  <w:pPr>
                    <w:pStyle w:val="25"/>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ascii="Times New Roman" w:hAnsi="Times New Roman"/>
                      <w:b/>
                      <w:bCs/>
                      <w:color w:val="auto"/>
                      <w:sz w:val="21"/>
                      <w:szCs w:val="21"/>
                    </w:rPr>
                  </w:pPr>
                  <w:r>
                    <w:rPr>
                      <w:rFonts w:ascii="Times New Roman" w:hAnsi="Times New Roman"/>
                      <w:b/>
                      <w:bCs/>
                      <w:color w:val="auto"/>
                      <w:sz w:val="21"/>
                      <w:szCs w:val="21"/>
                    </w:rPr>
                    <w:t>主要使用仪器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27" w:hRule="exact"/>
                <w:jc w:val="center"/>
              </w:trPr>
              <w:tc>
                <w:tcPr>
                  <w:tcW w:w="340" w:type="pct"/>
                  <w:vMerge w:val="restart"/>
                  <w:noWrap w:val="0"/>
                  <w:vAlign w:val="center"/>
                </w:tcPr>
                <w:p>
                  <w:pPr>
                    <w:pStyle w:val="87"/>
                    <w:keepNext w:val="0"/>
                    <w:keepLines w:val="0"/>
                    <w:pageBreakBefore w:val="0"/>
                    <w:kinsoku/>
                    <w:wordWrap/>
                    <w:overflowPunct/>
                    <w:topLinePunct w:val="0"/>
                    <w:bidi w:val="0"/>
                    <w:spacing w:line="240" w:lineRule="auto"/>
                    <w:jc w:val="center"/>
                    <w:textAlignment w:val="auto"/>
                    <w:rPr>
                      <w:rFonts w:ascii="Times New Roman" w:cs="Times New Roman"/>
                      <w:color w:val="auto"/>
                      <w:sz w:val="21"/>
                      <w:szCs w:val="21"/>
                    </w:rPr>
                  </w:pPr>
                  <w:r>
                    <w:rPr>
                      <w:rFonts w:ascii="Times New Roman" w:cs="Times New Roman"/>
                      <w:color w:val="auto"/>
                      <w:sz w:val="21"/>
                      <w:szCs w:val="21"/>
                    </w:rPr>
                    <w:t>环境空气</w:t>
                  </w:r>
                </w:p>
              </w:tc>
              <w:tc>
                <w:tcPr>
                  <w:tcW w:w="620" w:type="pct"/>
                  <w:noWrap w:val="0"/>
                  <w:vAlign w:val="center"/>
                </w:tcPr>
                <w:p>
                  <w:pPr>
                    <w:pStyle w:val="25"/>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ascii="Times New Roman" w:hAnsi="Times New Roman"/>
                      <w:color w:val="auto"/>
                      <w:sz w:val="21"/>
                      <w:szCs w:val="21"/>
                    </w:rPr>
                  </w:pPr>
                  <w:r>
                    <w:rPr>
                      <w:rFonts w:ascii="Times New Roman" w:hAnsi="Times New Roman"/>
                      <w:color w:val="auto"/>
                      <w:kern w:val="2"/>
                      <w:sz w:val="21"/>
                      <w:szCs w:val="21"/>
                    </w:rPr>
                    <w:t>非甲烷总烃</w:t>
                  </w:r>
                </w:p>
              </w:tc>
              <w:tc>
                <w:tcPr>
                  <w:tcW w:w="1567" w:type="pct"/>
                  <w:noWrap w:val="0"/>
                  <w:vAlign w:val="center"/>
                </w:tcPr>
                <w:p>
                  <w:pPr>
                    <w:keepNext w:val="0"/>
                    <w:keepLines w:val="0"/>
                    <w:pageBreakBefore w:val="0"/>
                    <w:kinsoku/>
                    <w:wordWrap/>
                    <w:overflowPunct/>
                    <w:topLinePunct w:val="0"/>
                    <w:bidi w:val="0"/>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环境空气  总烃、甲烷和非甲烷总烃的测定 直接进样-气相色谱</w:t>
                  </w:r>
                </w:p>
                <w:p>
                  <w:pPr>
                    <w:keepNext w:val="0"/>
                    <w:keepLines w:val="0"/>
                    <w:pageBreakBefore w:val="0"/>
                    <w:kinsoku/>
                    <w:wordWrap/>
                    <w:overflowPunct/>
                    <w:topLinePunct w:val="0"/>
                    <w:bidi w:val="0"/>
                    <w:spacing w:line="240" w:lineRule="auto"/>
                    <w:jc w:val="center"/>
                    <w:textAlignment w:val="auto"/>
                    <w:rPr>
                      <w:rFonts w:ascii="Times New Roman" w:hAnsi="Times New Roman"/>
                      <w:color w:val="auto"/>
                      <w:kern w:val="0"/>
                      <w:sz w:val="21"/>
                      <w:szCs w:val="21"/>
                    </w:rPr>
                  </w:pPr>
                  <w:r>
                    <w:rPr>
                      <w:rFonts w:ascii="Times New Roman" w:hAnsi="Times New Roman"/>
                      <w:color w:val="auto"/>
                      <w:sz w:val="21"/>
                      <w:szCs w:val="21"/>
                    </w:rPr>
                    <w:t>HJ 604-2017</w:t>
                  </w:r>
                </w:p>
              </w:tc>
              <w:tc>
                <w:tcPr>
                  <w:tcW w:w="627" w:type="pct"/>
                  <w:noWrap w:val="0"/>
                  <w:vAlign w:val="center"/>
                </w:tcPr>
                <w:p>
                  <w:pPr>
                    <w:keepNext w:val="0"/>
                    <w:keepLines w:val="0"/>
                    <w:pageBreakBefore w:val="0"/>
                    <w:kinsoku/>
                    <w:wordWrap/>
                    <w:overflowPunct/>
                    <w:topLinePunct w:val="0"/>
                    <w:bidi w:val="0"/>
                    <w:spacing w:line="240" w:lineRule="auto"/>
                    <w:jc w:val="center"/>
                    <w:textAlignment w:val="auto"/>
                    <w:rPr>
                      <w:rFonts w:ascii="Times New Roman" w:hAnsi="Times New Roman"/>
                      <w:color w:val="auto"/>
                      <w:kern w:val="0"/>
                      <w:sz w:val="21"/>
                      <w:szCs w:val="21"/>
                    </w:rPr>
                  </w:pPr>
                  <w:r>
                    <w:rPr>
                      <w:rFonts w:ascii="Times New Roman" w:hAnsi="Times New Roman"/>
                      <w:color w:val="auto"/>
                      <w:sz w:val="21"/>
                      <w:szCs w:val="21"/>
                    </w:rPr>
                    <w:t>0.07mg/m</w:t>
                  </w:r>
                  <w:r>
                    <w:rPr>
                      <w:rFonts w:ascii="Times New Roman" w:hAnsi="Times New Roman"/>
                      <w:color w:val="auto"/>
                      <w:sz w:val="21"/>
                      <w:szCs w:val="21"/>
                      <w:vertAlign w:val="superscript"/>
                    </w:rPr>
                    <w:t>3</w:t>
                  </w:r>
                </w:p>
              </w:tc>
              <w:tc>
                <w:tcPr>
                  <w:tcW w:w="1843" w:type="pct"/>
                  <w:noWrap w:val="0"/>
                  <w:vAlign w:val="center"/>
                </w:tcPr>
                <w:p>
                  <w:pPr>
                    <w:pStyle w:val="87"/>
                    <w:keepNext w:val="0"/>
                    <w:keepLines w:val="0"/>
                    <w:pageBreakBefore w:val="0"/>
                    <w:kinsoku/>
                    <w:wordWrap/>
                    <w:overflowPunct/>
                    <w:topLinePunct w:val="0"/>
                    <w:bidi w:val="0"/>
                    <w:spacing w:line="240" w:lineRule="auto"/>
                    <w:jc w:val="center"/>
                    <w:textAlignment w:val="auto"/>
                    <w:rPr>
                      <w:rFonts w:ascii="Times New Roman" w:cs="Times New Roman"/>
                      <w:color w:val="auto"/>
                      <w:sz w:val="21"/>
                      <w:szCs w:val="21"/>
                    </w:rPr>
                  </w:pPr>
                  <w:r>
                    <w:rPr>
                      <w:rFonts w:ascii="Times New Roman" w:cs="Times New Roman"/>
                      <w:color w:val="auto"/>
                      <w:sz w:val="21"/>
                      <w:szCs w:val="21"/>
                    </w:rPr>
                    <w:t>GC9790Ⅱ气相色谱仪H028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45" w:hRule="exact"/>
                <w:jc w:val="center"/>
              </w:trPr>
              <w:tc>
                <w:tcPr>
                  <w:tcW w:w="340" w:type="pct"/>
                  <w:vMerge w:val="continue"/>
                  <w:noWrap w:val="0"/>
                  <w:vAlign w:val="center"/>
                </w:tcPr>
                <w:p>
                  <w:pPr>
                    <w:pStyle w:val="87"/>
                    <w:keepNext w:val="0"/>
                    <w:keepLines w:val="0"/>
                    <w:pageBreakBefore w:val="0"/>
                    <w:kinsoku/>
                    <w:wordWrap/>
                    <w:overflowPunct/>
                    <w:topLinePunct w:val="0"/>
                    <w:bidi w:val="0"/>
                    <w:spacing w:line="240" w:lineRule="auto"/>
                    <w:jc w:val="center"/>
                    <w:textAlignment w:val="auto"/>
                    <w:rPr>
                      <w:rFonts w:ascii="Times New Roman" w:cs="Times New Roman"/>
                      <w:color w:val="auto"/>
                      <w:sz w:val="21"/>
                      <w:szCs w:val="21"/>
                    </w:rPr>
                  </w:pPr>
                </w:p>
              </w:tc>
              <w:tc>
                <w:tcPr>
                  <w:tcW w:w="620" w:type="pct"/>
                  <w:noWrap w:val="0"/>
                  <w:vAlign w:val="center"/>
                </w:tcPr>
                <w:p>
                  <w:pPr>
                    <w:pStyle w:val="25"/>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ascii="Times New Roman" w:hAnsi="Times New Roman"/>
                      <w:color w:val="auto"/>
                      <w:sz w:val="21"/>
                      <w:szCs w:val="21"/>
                    </w:rPr>
                  </w:pPr>
                  <w:r>
                    <w:rPr>
                      <w:rFonts w:ascii="Times New Roman" w:hAnsi="Times New Roman"/>
                      <w:color w:val="auto"/>
                      <w:sz w:val="21"/>
                      <w:szCs w:val="21"/>
                    </w:rPr>
                    <w:t>臭气浓度</w:t>
                  </w:r>
                </w:p>
              </w:tc>
              <w:tc>
                <w:tcPr>
                  <w:tcW w:w="1567" w:type="pct"/>
                  <w:noWrap w:val="0"/>
                  <w:vAlign w:val="center"/>
                </w:tcPr>
                <w:p>
                  <w:pPr>
                    <w:keepNext w:val="0"/>
                    <w:keepLines w:val="0"/>
                    <w:pageBreakBefore w:val="0"/>
                    <w:kinsoku/>
                    <w:wordWrap/>
                    <w:overflowPunct/>
                    <w:topLinePunct w:val="0"/>
                    <w:bidi w:val="0"/>
                    <w:spacing w:line="240" w:lineRule="auto"/>
                    <w:jc w:val="center"/>
                    <w:textAlignment w:val="auto"/>
                    <w:rPr>
                      <w:rFonts w:ascii="Times New Roman" w:hAnsi="Times New Roman"/>
                      <w:color w:val="auto"/>
                      <w:kern w:val="0"/>
                      <w:sz w:val="21"/>
                      <w:szCs w:val="21"/>
                    </w:rPr>
                  </w:pPr>
                  <w:r>
                    <w:rPr>
                      <w:rFonts w:ascii="Times New Roman" w:hAnsi="Times New Roman"/>
                      <w:color w:val="auto"/>
                      <w:kern w:val="0"/>
                      <w:sz w:val="21"/>
                      <w:szCs w:val="21"/>
                    </w:rPr>
                    <w:t>空气质量 恶臭的测定 三点比较式臭袋法GB/T14675-1993</w:t>
                  </w:r>
                </w:p>
              </w:tc>
              <w:tc>
                <w:tcPr>
                  <w:tcW w:w="627" w:type="pct"/>
                  <w:noWrap w:val="0"/>
                  <w:vAlign w:val="center"/>
                </w:tcPr>
                <w:p>
                  <w:pPr>
                    <w:keepNext w:val="0"/>
                    <w:keepLines w:val="0"/>
                    <w:pageBreakBefore w:val="0"/>
                    <w:kinsoku/>
                    <w:wordWrap/>
                    <w:overflowPunct/>
                    <w:topLinePunct w:val="0"/>
                    <w:bidi w:val="0"/>
                    <w:spacing w:line="240" w:lineRule="auto"/>
                    <w:jc w:val="center"/>
                    <w:textAlignment w:val="auto"/>
                    <w:rPr>
                      <w:rFonts w:ascii="Times New Roman" w:hAnsi="Times New Roman"/>
                      <w:color w:val="auto"/>
                      <w:kern w:val="0"/>
                      <w:sz w:val="21"/>
                      <w:szCs w:val="21"/>
                    </w:rPr>
                  </w:pPr>
                  <w:r>
                    <w:rPr>
                      <w:rFonts w:ascii="Times New Roman" w:hAnsi="Times New Roman"/>
                      <w:color w:val="auto"/>
                      <w:kern w:val="0"/>
                      <w:sz w:val="21"/>
                      <w:szCs w:val="21"/>
                    </w:rPr>
                    <w:t>/</w:t>
                  </w:r>
                </w:p>
              </w:tc>
              <w:tc>
                <w:tcPr>
                  <w:tcW w:w="1843" w:type="pct"/>
                  <w:noWrap w:val="0"/>
                  <w:vAlign w:val="center"/>
                </w:tcPr>
                <w:p>
                  <w:pPr>
                    <w:pStyle w:val="87"/>
                    <w:keepNext w:val="0"/>
                    <w:keepLines w:val="0"/>
                    <w:pageBreakBefore w:val="0"/>
                    <w:kinsoku/>
                    <w:wordWrap/>
                    <w:overflowPunct/>
                    <w:topLinePunct w:val="0"/>
                    <w:bidi w:val="0"/>
                    <w:spacing w:line="240" w:lineRule="auto"/>
                    <w:jc w:val="center"/>
                    <w:textAlignment w:val="auto"/>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54" w:hRule="exact"/>
                <w:jc w:val="center"/>
              </w:trPr>
              <w:tc>
                <w:tcPr>
                  <w:tcW w:w="340" w:type="pct"/>
                  <w:vMerge w:val="continue"/>
                  <w:noWrap w:val="0"/>
                  <w:vAlign w:val="center"/>
                </w:tcPr>
                <w:p>
                  <w:pPr>
                    <w:pStyle w:val="87"/>
                    <w:keepNext w:val="0"/>
                    <w:keepLines w:val="0"/>
                    <w:pageBreakBefore w:val="0"/>
                    <w:kinsoku/>
                    <w:wordWrap/>
                    <w:overflowPunct/>
                    <w:topLinePunct w:val="0"/>
                    <w:bidi w:val="0"/>
                    <w:spacing w:line="240" w:lineRule="auto"/>
                    <w:jc w:val="center"/>
                    <w:textAlignment w:val="auto"/>
                    <w:rPr>
                      <w:rFonts w:ascii="Times New Roman" w:cs="Times New Roman"/>
                      <w:color w:val="auto"/>
                      <w:sz w:val="21"/>
                      <w:szCs w:val="21"/>
                    </w:rPr>
                  </w:pPr>
                </w:p>
              </w:tc>
              <w:tc>
                <w:tcPr>
                  <w:tcW w:w="620" w:type="pct"/>
                  <w:noWrap w:val="0"/>
                  <w:vAlign w:val="center"/>
                </w:tcPr>
                <w:p>
                  <w:pPr>
                    <w:pStyle w:val="25"/>
                    <w:keepNext w:val="0"/>
                    <w:keepLines w:val="0"/>
                    <w:pageBreakBefore w:val="0"/>
                    <w:kinsoku/>
                    <w:wordWrap/>
                    <w:overflowPunct/>
                    <w:topLinePunct w:val="0"/>
                    <w:bidi w:val="0"/>
                    <w:snapToGrid w:val="0"/>
                    <w:spacing w:before="0" w:beforeAutospacing="0" w:after="0" w:afterAutospacing="0" w:line="240" w:lineRule="auto"/>
                    <w:jc w:val="center"/>
                    <w:textAlignment w:val="auto"/>
                    <w:rPr>
                      <w:rFonts w:ascii="Times New Roman" w:hAnsi="Times New Roman"/>
                      <w:color w:val="auto"/>
                      <w:sz w:val="21"/>
                      <w:szCs w:val="21"/>
                    </w:rPr>
                  </w:pPr>
                  <w:r>
                    <w:rPr>
                      <w:rFonts w:ascii="Times New Roman" w:hAnsi="Times New Roman"/>
                      <w:color w:val="auto"/>
                      <w:kern w:val="2"/>
                      <w:sz w:val="21"/>
                      <w:szCs w:val="21"/>
                    </w:rPr>
                    <w:t>总悬浮颗粒物</w:t>
                  </w:r>
                </w:p>
              </w:tc>
              <w:tc>
                <w:tcPr>
                  <w:tcW w:w="1567" w:type="pct"/>
                  <w:noWrap w:val="0"/>
                  <w:vAlign w:val="center"/>
                </w:tcPr>
                <w:p>
                  <w:pPr>
                    <w:keepNext w:val="0"/>
                    <w:keepLines w:val="0"/>
                    <w:pageBreakBefore w:val="0"/>
                    <w:kinsoku/>
                    <w:wordWrap/>
                    <w:overflowPunct/>
                    <w:topLinePunct w:val="0"/>
                    <w:bidi w:val="0"/>
                    <w:spacing w:line="240" w:lineRule="auto"/>
                    <w:jc w:val="center"/>
                    <w:textAlignment w:val="auto"/>
                    <w:rPr>
                      <w:rFonts w:ascii="Times New Roman" w:hAnsi="Times New Roman"/>
                      <w:color w:val="auto"/>
                      <w:kern w:val="0"/>
                      <w:sz w:val="21"/>
                      <w:szCs w:val="21"/>
                    </w:rPr>
                  </w:pPr>
                  <w:r>
                    <w:rPr>
                      <w:rFonts w:ascii="Times New Roman" w:hAnsi="Times New Roman"/>
                      <w:color w:val="auto"/>
                      <w:sz w:val="21"/>
                      <w:szCs w:val="21"/>
                    </w:rPr>
                    <w:t>环境空气 总悬浮颗粒物的测定 重量法GB/T 15432-1995</w:t>
                  </w:r>
                </w:p>
              </w:tc>
              <w:tc>
                <w:tcPr>
                  <w:tcW w:w="627" w:type="pct"/>
                  <w:noWrap w:val="0"/>
                  <w:vAlign w:val="center"/>
                </w:tcPr>
                <w:p>
                  <w:pPr>
                    <w:keepNext w:val="0"/>
                    <w:keepLines w:val="0"/>
                    <w:pageBreakBefore w:val="0"/>
                    <w:kinsoku/>
                    <w:wordWrap/>
                    <w:overflowPunct/>
                    <w:topLinePunct w:val="0"/>
                    <w:bidi w:val="0"/>
                    <w:spacing w:line="240" w:lineRule="auto"/>
                    <w:jc w:val="center"/>
                    <w:textAlignment w:val="auto"/>
                    <w:rPr>
                      <w:rFonts w:ascii="Times New Roman" w:hAnsi="Times New Roman"/>
                      <w:color w:val="auto"/>
                      <w:kern w:val="0"/>
                      <w:sz w:val="21"/>
                      <w:szCs w:val="21"/>
                    </w:rPr>
                  </w:pPr>
                  <w:r>
                    <w:rPr>
                      <w:rFonts w:ascii="Times New Roman" w:hAnsi="Times New Roman"/>
                      <w:color w:val="auto"/>
                      <w:sz w:val="21"/>
                      <w:szCs w:val="21"/>
                    </w:rPr>
                    <w:t>0.001mg/m</w:t>
                  </w:r>
                  <w:r>
                    <w:rPr>
                      <w:rFonts w:ascii="Times New Roman" w:hAnsi="Times New Roman"/>
                      <w:color w:val="auto"/>
                      <w:sz w:val="21"/>
                      <w:szCs w:val="21"/>
                      <w:vertAlign w:val="superscript"/>
                    </w:rPr>
                    <w:t>3</w:t>
                  </w:r>
                </w:p>
              </w:tc>
              <w:tc>
                <w:tcPr>
                  <w:tcW w:w="1843" w:type="pct"/>
                  <w:noWrap w:val="0"/>
                  <w:vAlign w:val="center"/>
                </w:tcPr>
                <w:p>
                  <w:pPr>
                    <w:pStyle w:val="87"/>
                    <w:keepNext w:val="0"/>
                    <w:keepLines w:val="0"/>
                    <w:pageBreakBefore w:val="0"/>
                    <w:kinsoku/>
                    <w:wordWrap/>
                    <w:overflowPunct/>
                    <w:topLinePunct w:val="0"/>
                    <w:bidi w:val="0"/>
                    <w:spacing w:line="240" w:lineRule="auto"/>
                    <w:jc w:val="center"/>
                    <w:textAlignment w:val="auto"/>
                    <w:rPr>
                      <w:rFonts w:ascii="Times New Roman" w:cs="Times New Roman"/>
                      <w:color w:val="auto"/>
                      <w:sz w:val="21"/>
                      <w:szCs w:val="21"/>
                    </w:rPr>
                  </w:pPr>
                  <w:r>
                    <w:rPr>
                      <w:rFonts w:ascii="Times New Roman" w:cs="Times New Roman"/>
                      <w:color w:val="auto"/>
                      <w:sz w:val="21"/>
                      <w:szCs w:val="21"/>
                    </w:rPr>
                    <w:t>AUW120D岛津分析天平H033、LHS-80HC-I恒温恒湿箱H020、ZR-3922环境空气颗粒物综合采样器H107/H108</w:t>
                  </w:r>
                </w:p>
              </w:tc>
            </w:tr>
          </w:tbl>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80" w:firstLineChars="200"/>
              <w:textAlignment w:val="auto"/>
              <w:rPr>
                <w:rFonts w:ascii="Times New Roman" w:hAnsi="Times New Roman" w:eastAsia="宋体" w:cs="Times New Roman"/>
                <w:color w:val="auto"/>
                <w:spacing w:val="0"/>
                <w:kern w:val="2"/>
                <w:sz w:val="24"/>
                <w:szCs w:val="24"/>
              </w:rPr>
            </w:pPr>
            <w:r>
              <w:rPr>
                <w:rFonts w:ascii="Times New Roman" w:hAnsi="Times New Roman" w:eastAsia="宋体" w:cs="Times New Roman"/>
                <w:color w:val="auto"/>
                <w:spacing w:val="0"/>
                <w:kern w:val="2"/>
                <w:sz w:val="24"/>
                <w:szCs w:val="24"/>
              </w:rPr>
              <w:t>（6）监测结果</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80" w:firstLineChars="200"/>
              <w:textAlignment w:val="auto"/>
              <w:rPr>
                <w:rFonts w:ascii="Times New Roman" w:hAnsi="Times New Roman" w:eastAsia="宋体" w:cs="Times New Roman"/>
                <w:color w:val="auto"/>
                <w:spacing w:val="0"/>
                <w:kern w:val="2"/>
                <w:sz w:val="21"/>
                <w:szCs w:val="21"/>
              </w:rPr>
            </w:pPr>
            <w:r>
              <w:rPr>
                <w:rFonts w:ascii="Times New Roman" w:hAnsi="Times New Roman" w:eastAsia="宋体" w:cs="Times New Roman"/>
                <w:color w:val="auto"/>
                <w:spacing w:val="0"/>
                <w:kern w:val="2"/>
                <w:sz w:val="24"/>
                <w:szCs w:val="24"/>
              </w:rPr>
              <w:t>本项目监测结果见表</w:t>
            </w:r>
            <w:r>
              <w:rPr>
                <w:rFonts w:hint="default" w:ascii="Times New Roman" w:hAnsi="Times New Roman" w:eastAsia="宋体" w:cs="Times New Roman"/>
                <w:color w:val="auto"/>
                <w:spacing w:val="0"/>
                <w:kern w:val="2"/>
                <w:sz w:val="24"/>
                <w:szCs w:val="24"/>
              </w:rPr>
              <w:t>3</w:t>
            </w:r>
            <w:r>
              <w:rPr>
                <w:rFonts w:ascii="Times New Roman" w:hAnsi="Times New Roman" w:eastAsia="宋体" w:cs="Times New Roman"/>
                <w:color w:val="auto"/>
                <w:spacing w:val="0"/>
                <w:kern w:val="2"/>
                <w:sz w:val="24"/>
                <w:szCs w:val="24"/>
              </w:rPr>
              <w:t>-</w:t>
            </w:r>
            <w:r>
              <w:rPr>
                <w:rFonts w:hint="default" w:ascii="Times New Roman" w:hAnsi="Times New Roman" w:eastAsia="宋体" w:cs="Times New Roman"/>
                <w:color w:val="auto"/>
                <w:spacing w:val="0"/>
                <w:kern w:val="2"/>
                <w:sz w:val="24"/>
                <w:szCs w:val="24"/>
                <w:lang w:val="en-US" w:eastAsia="zh-CN"/>
              </w:rPr>
              <w:t>4</w:t>
            </w:r>
            <w:r>
              <w:rPr>
                <w:rFonts w:ascii="Times New Roman" w:hAnsi="Times New Roman" w:eastAsia="宋体" w:cs="Times New Roman"/>
                <w:color w:val="auto"/>
                <w:spacing w:val="0"/>
                <w:kern w:val="2"/>
                <w:sz w:val="24"/>
                <w:szCs w:val="24"/>
              </w:rPr>
              <w:t>。</w:t>
            </w:r>
          </w:p>
          <w:p>
            <w:pPr>
              <w:spacing w:line="240" w:lineRule="auto"/>
              <w:jc w:val="center"/>
              <w:rPr>
                <w:rFonts w:ascii="Times New Roman" w:hAnsi="Times New Roman"/>
                <w:b/>
                <w:bCs/>
                <w:color w:val="auto"/>
                <w:sz w:val="21"/>
                <w:szCs w:val="21"/>
              </w:rPr>
            </w:pP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表3-</w:t>
            </w:r>
            <w:r>
              <w:rPr>
                <w:rFonts w:hint="eastAsia" w:ascii="Times New Roman" w:hAnsi="Times New Roman"/>
                <w:b/>
                <w:bCs/>
                <w:color w:val="auto"/>
                <w:sz w:val="21"/>
                <w:szCs w:val="21"/>
                <w:lang w:val="en-US" w:eastAsia="zh-CN"/>
              </w:rPr>
              <w:t>4</w:t>
            </w:r>
            <w:r>
              <w:rPr>
                <w:rFonts w:ascii="Times New Roman" w:hAnsi="Times New Roman"/>
                <w:b/>
                <w:bCs/>
                <w:color w:val="auto"/>
                <w:sz w:val="21"/>
                <w:szCs w:val="21"/>
              </w:rPr>
              <w:t xml:space="preserve">  大气环境现状补充监测结果</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353"/>
              <w:gridCol w:w="1807"/>
              <w:gridCol w:w="1095"/>
              <w:gridCol w:w="1095"/>
              <w:gridCol w:w="1096"/>
              <w:gridCol w:w="11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restart"/>
                  <w:shd w:val="clear" w:color="auto" w:fill="DCE6F2" w:themeFill="accent1" w:themeFillTint="32"/>
                  <w:noWrap w:val="0"/>
                  <w:vAlign w:val="center"/>
                </w:tcPr>
                <w:p>
                  <w:pPr>
                    <w:adjustRightIn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检测日期</w:t>
                  </w:r>
                </w:p>
              </w:tc>
              <w:tc>
                <w:tcPr>
                  <w:tcW w:w="807" w:type="pct"/>
                  <w:vMerge w:val="restart"/>
                  <w:shd w:val="clear" w:color="auto" w:fill="DCE6F2" w:themeFill="accent1" w:themeFillTint="32"/>
                  <w:noWrap w:val="0"/>
                  <w:vAlign w:val="center"/>
                </w:tcPr>
                <w:p>
                  <w:pPr>
                    <w:adjustRightIn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检测点位</w:t>
                  </w:r>
                </w:p>
              </w:tc>
              <w:tc>
                <w:tcPr>
                  <w:tcW w:w="1078" w:type="pct"/>
                  <w:vMerge w:val="restart"/>
                  <w:shd w:val="clear" w:color="auto" w:fill="DCE6F2" w:themeFill="accent1" w:themeFillTint="32"/>
                  <w:noWrap w:val="0"/>
                  <w:vAlign w:val="center"/>
                </w:tcPr>
                <w:p>
                  <w:pPr>
                    <w:adjustRightIn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检测项目</w:t>
                  </w:r>
                </w:p>
              </w:tc>
              <w:tc>
                <w:tcPr>
                  <w:tcW w:w="2626" w:type="pct"/>
                  <w:gridSpan w:val="4"/>
                  <w:shd w:val="clear" w:color="auto" w:fill="DCE6F2" w:themeFill="accent1" w:themeFillTint="32"/>
                  <w:noWrap w:val="0"/>
                  <w:vAlign w:val="center"/>
                </w:tcPr>
                <w:p>
                  <w:pPr>
                    <w:pStyle w:val="25"/>
                    <w:adjustRightInd w:val="0"/>
                    <w:spacing w:before="0" w:beforeAutospacing="0" w:after="0" w:afterAutospacing="0" w:line="240" w:lineRule="auto"/>
                    <w:jc w:val="center"/>
                    <w:rPr>
                      <w:rFonts w:ascii="Times New Roman" w:hAnsi="Times New Roman"/>
                      <w:b/>
                      <w:bCs/>
                      <w:color w:val="auto"/>
                      <w:sz w:val="21"/>
                      <w:szCs w:val="21"/>
                    </w:rPr>
                  </w:pPr>
                  <w:r>
                    <w:rPr>
                      <w:rFonts w:ascii="Times New Roman" w:hAnsi="Times New Roman"/>
                      <w:b/>
                      <w:bCs/>
                      <w:color w:val="auto"/>
                      <w:sz w:val="21"/>
                      <w:szCs w:val="21"/>
                    </w:rPr>
                    <w:t>检测结果（mg/m</w:t>
                  </w:r>
                  <w:r>
                    <w:rPr>
                      <w:rFonts w:ascii="Times New Roman" w:hAnsi="Times New Roman"/>
                      <w:b/>
                      <w:bCs/>
                      <w:color w:val="auto"/>
                      <w:sz w:val="21"/>
                      <w:szCs w:val="21"/>
                      <w:vertAlign w:val="superscript"/>
                    </w:rPr>
                    <w:t>3</w:t>
                  </w:r>
                  <w:r>
                    <w:rPr>
                      <w:rFonts w:ascii="Times New Roman" w:hAnsi="Times New Roman"/>
                      <w:b/>
                      <w:bCs/>
                      <w:color w:val="auto"/>
                      <w:sz w:val="21"/>
                      <w:szCs w:val="21"/>
                    </w:rPr>
                    <w:t>、臭气浓度：无量纲）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shd w:val="clear" w:color="auto" w:fill="DCE6F2" w:themeFill="accent1" w:themeFillTint="32"/>
                  <w:noWrap w:val="0"/>
                  <w:vAlign w:val="center"/>
                </w:tcPr>
                <w:p>
                  <w:pPr>
                    <w:pStyle w:val="25"/>
                    <w:adjustRightInd w:val="0"/>
                    <w:spacing w:before="0" w:beforeAutospacing="0" w:after="0" w:afterAutospacing="0" w:line="240" w:lineRule="auto"/>
                    <w:jc w:val="center"/>
                    <w:rPr>
                      <w:rFonts w:ascii="Times New Roman" w:hAnsi="Times New Roman"/>
                      <w:b/>
                      <w:bCs/>
                      <w:color w:val="auto"/>
                      <w:sz w:val="21"/>
                      <w:szCs w:val="21"/>
                    </w:rPr>
                  </w:pPr>
                </w:p>
              </w:tc>
              <w:tc>
                <w:tcPr>
                  <w:tcW w:w="807" w:type="pct"/>
                  <w:vMerge w:val="continue"/>
                  <w:shd w:val="clear" w:color="auto" w:fill="DCE6F2" w:themeFill="accent1" w:themeFillTint="32"/>
                  <w:noWrap w:val="0"/>
                  <w:vAlign w:val="center"/>
                </w:tcPr>
                <w:p>
                  <w:pPr>
                    <w:pStyle w:val="25"/>
                    <w:adjustRightInd w:val="0"/>
                    <w:spacing w:before="0" w:beforeAutospacing="0" w:after="0" w:afterAutospacing="0" w:line="240" w:lineRule="auto"/>
                    <w:jc w:val="center"/>
                    <w:rPr>
                      <w:rFonts w:ascii="Times New Roman" w:hAnsi="Times New Roman"/>
                      <w:b/>
                      <w:bCs/>
                      <w:color w:val="auto"/>
                      <w:sz w:val="21"/>
                      <w:szCs w:val="21"/>
                    </w:rPr>
                  </w:pPr>
                </w:p>
              </w:tc>
              <w:tc>
                <w:tcPr>
                  <w:tcW w:w="1078" w:type="pct"/>
                  <w:vMerge w:val="continue"/>
                  <w:shd w:val="clear" w:color="auto" w:fill="DCE6F2" w:themeFill="accent1" w:themeFillTint="32"/>
                  <w:noWrap w:val="0"/>
                  <w:vAlign w:val="center"/>
                </w:tcPr>
                <w:p>
                  <w:pPr>
                    <w:pStyle w:val="25"/>
                    <w:adjustRightInd w:val="0"/>
                    <w:spacing w:before="0" w:beforeAutospacing="0" w:after="0" w:afterAutospacing="0" w:line="240" w:lineRule="auto"/>
                    <w:jc w:val="center"/>
                    <w:rPr>
                      <w:rFonts w:ascii="Times New Roman" w:hAnsi="Times New Roman"/>
                      <w:b/>
                      <w:bCs/>
                      <w:color w:val="auto"/>
                      <w:sz w:val="21"/>
                      <w:szCs w:val="21"/>
                    </w:rPr>
                  </w:pPr>
                </w:p>
              </w:tc>
              <w:tc>
                <w:tcPr>
                  <w:tcW w:w="653" w:type="pct"/>
                  <w:shd w:val="clear" w:color="auto" w:fill="DCE6F2" w:themeFill="accent1" w:themeFillTint="32"/>
                  <w:noWrap w:val="0"/>
                  <w:vAlign w:val="center"/>
                </w:tcPr>
                <w:p>
                  <w:pPr>
                    <w:pStyle w:val="25"/>
                    <w:adjustRightInd w:val="0"/>
                    <w:spacing w:before="0" w:beforeAutospacing="0" w:after="0" w:afterAutospacing="0" w:line="240" w:lineRule="auto"/>
                    <w:jc w:val="center"/>
                    <w:rPr>
                      <w:rFonts w:ascii="Times New Roman" w:hAnsi="Times New Roman"/>
                      <w:b/>
                      <w:bCs/>
                      <w:color w:val="auto"/>
                      <w:sz w:val="21"/>
                      <w:szCs w:val="21"/>
                    </w:rPr>
                  </w:pPr>
                  <w:r>
                    <w:rPr>
                      <w:rFonts w:ascii="Times New Roman" w:hAnsi="Times New Roman"/>
                      <w:b/>
                      <w:bCs/>
                      <w:color w:val="auto"/>
                      <w:sz w:val="21"/>
                      <w:szCs w:val="21"/>
                    </w:rPr>
                    <w:t>第一次</w:t>
                  </w:r>
                </w:p>
              </w:tc>
              <w:tc>
                <w:tcPr>
                  <w:tcW w:w="653" w:type="pct"/>
                  <w:shd w:val="clear" w:color="auto" w:fill="DCE6F2" w:themeFill="accent1" w:themeFillTint="32"/>
                  <w:noWrap w:val="0"/>
                  <w:vAlign w:val="center"/>
                </w:tcPr>
                <w:p>
                  <w:pPr>
                    <w:pStyle w:val="25"/>
                    <w:adjustRightInd w:val="0"/>
                    <w:spacing w:before="0" w:beforeAutospacing="0" w:after="0" w:afterAutospacing="0" w:line="240" w:lineRule="auto"/>
                    <w:jc w:val="center"/>
                    <w:rPr>
                      <w:rFonts w:ascii="Times New Roman" w:hAnsi="Times New Roman"/>
                      <w:b/>
                      <w:bCs/>
                      <w:color w:val="auto"/>
                      <w:sz w:val="21"/>
                      <w:szCs w:val="21"/>
                    </w:rPr>
                  </w:pPr>
                  <w:r>
                    <w:rPr>
                      <w:rFonts w:ascii="Times New Roman" w:hAnsi="Times New Roman"/>
                      <w:b/>
                      <w:bCs/>
                      <w:color w:val="auto"/>
                      <w:sz w:val="21"/>
                      <w:szCs w:val="21"/>
                    </w:rPr>
                    <w:t>第二次</w:t>
                  </w:r>
                </w:p>
              </w:tc>
              <w:tc>
                <w:tcPr>
                  <w:tcW w:w="654" w:type="pct"/>
                  <w:shd w:val="clear" w:color="auto" w:fill="DCE6F2" w:themeFill="accent1" w:themeFillTint="32"/>
                  <w:noWrap w:val="0"/>
                  <w:vAlign w:val="center"/>
                </w:tcPr>
                <w:p>
                  <w:pPr>
                    <w:pStyle w:val="25"/>
                    <w:adjustRightInd w:val="0"/>
                    <w:spacing w:before="0" w:beforeAutospacing="0" w:after="0" w:afterAutospacing="0" w:line="240" w:lineRule="auto"/>
                    <w:jc w:val="center"/>
                    <w:rPr>
                      <w:rFonts w:ascii="Times New Roman" w:hAnsi="Times New Roman"/>
                      <w:b/>
                      <w:bCs/>
                      <w:color w:val="auto"/>
                      <w:sz w:val="21"/>
                      <w:szCs w:val="21"/>
                    </w:rPr>
                  </w:pPr>
                  <w:r>
                    <w:rPr>
                      <w:rFonts w:ascii="Times New Roman" w:hAnsi="Times New Roman"/>
                      <w:b/>
                      <w:bCs/>
                      <w:color w:val="auto"/>
                      <w:sz w:val="21"/>
                      <w:szCs w:val="21"/>
                    </w:rPr>
                    <w:t>第三次</w:t>
                  </w:r>
                </w:p>
              </w:tc>
              <w:tc>
                <w:tcPr>
                  <w:tcW w:w="663" w:type="pct"/>
                  <w:shd w:val="clear" w:color="auto" w:fill="DCE6F2" w:themeFill="accent1" w:themeFillTint="32"/>
                  <w:noWrap w:val="0"/>
                  <w:vAlign w:val="center"/>
                </w:tcPr>
                <w:p>
                  <w:pPr>
                    <w:pStyle w:val="25"/>
                    <w:adjustRightInd w:val="0"/>
                    <w:spacing w:before="0" w:beforeAutospacing="0" w:after="0" w:afterAutospacing="0" w:line="240" w:lineRule="auto"/>
                    <w:jc w:val="center"/>
                    <w:rPr>
                      <w:rFonts w:ascii="Times New Roman" w:hAnsi="Times New Roman"/>
                      <w:b/>
                      <w:bCs/>
                      <w:color w:val="auto"/>
                      <w:sz w:val="21"/>
                      <w:szCs w:val="21"/>
                    </w:rPr>
                  </w:pPr>
                  <w:r>
                    <w:rPr>
                      <w:rFonts w:ascii="Times New Roman" w:hAnsi="Times New Roman"/>
                      <w:b/>
                      <w:bCs/>
                      <w:color w:val="auto"/>
                      <w:sz w:val="21"/>
                      <w:szCs w:val="21"/>
                    </w:rPr>
                    <w:t>第四次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restart"/>
                  <w:noWrap w:val="0"/>
                  <w:vAlign w:val="center"/>
                </w:tcPr>
                <w:p>
                  <w:pPr>
                    <w:pStyle w:val="87"/>
                    <w:jc w:val="center"/>
                    <w:rPr>
                      <w:rFonts w:ascii="Times New Roman" w:cs="Times New Roman"/>
                      <w:color w:val="auto"/>
                      <w:kern w:val="2"/>
                      <w:sz w:val="21"/>
                      <w:szCs w:val="21"/>
                    </w:rPr>
                  </w:pPr>
                  <w:r>
                    <w:rPr>
                      <w:rFonts w:ascii="Times New Roman" w:cs="Times New Roman"/>
                      <w:color w:val="auto"/>
                      <w:sz w:val="21"/>
                      <w:szCs w:val="21"/>
                    </w:rPr>
                    <w:t>08月11日</w:t>
                  </w:r>
                </w:p>
              </w:tc>
              <w:tc>
                <w:tcPr>
                  <w:tcW w:w="807"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项目厂址中心HG1</w:t>
                  </w: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0.70</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0.79</w:t>
                  </w:r>
                </w:p>
              </w:tc>
              <w:tc>
                <w:tcPr>
                  <w:tcW w:w="654"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0.92</w:t>
                  </w:r>
                </w:p>
              </w:tc>
              <w:tc>
                <w:tcPr>
                  <w:tcW w:w="66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总悬浮颗粒物</w:t>
                  </w:r>
                </w:p>
              </w:tc>
              <w:tc>
                <w:tcPr>
                  <w:tcW w:w="2626" w:type="pct"/>
                  <w:gridSpan w:val="4"/>
                  <w:noWrap w:val="0"/>
                  <w:vAlign w:val="center"/>
                </w:tcPr>
                <w:p>
                  <w:pPr>
                    <w:adjustRightIn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0.207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pStyle w:val="87"/>
                    <w:jc w:val="center"/>
                    <w:rPr>
                      <w:rFonts w:ascii="Times New Roman" w:cs="Times New Roman"/>
                      <w:color w:val="auto"/>
                      <w:kern w:val="2"/>
                      <w:sz w:val="21"/>
                      <w:szCs w:val="21"/>
                    </w:rPr>
                  </w:pPr>
                </w:p>
              </w:tc>
              <w:tc>
                <w:tcPr>
                  <w:tcW w:w="807"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项目厂址下风向106m居民处HG2</w:t>
                  </w: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0.76</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0.81</w:t>
                  </w:r>
                </w:p>
              </w:tc>
              <w:tc>
                <w:tcPr>
                  <w:tcW w:w="654"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0.94</w:t>
                  </w:r>
                </w:p>
              </w:tc>
              <w:tc>
                <w:tcPr>
                  <w:tcW w:w="66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总悬浮颗粒物</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0.224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restart"/>
                  <w:noWrap w:val="0"/>
                  <w:vAlign w:val="center"/>
                </w:tcPr>
                <w:p>
                  <w:pPr>
                    <w:pStyle w:val="87"/>
                    <w:jc w:val="center"/>
                    <w:rPr>
                      <w:rFonts w:ascii="Times New Roman" w:cs="Times New Roman"/>
                      <w:color w:val="auto"/>
                      <w:kern w:val="2"/>
                      <w:sz w:val="21"/>
                      <w:szCs w:val="21"/>
                    </w:rPr>
                  </w:pPr>
                  <w:r>
                    <w:rPr>
                      <w:rFonts w:ascii="Times New Roman" w:cs="Times New Roman"/>
                      <w:color w:val="auto"/>
                      <w:sz w:val="21"/>
                      <w:szCs w:val="21"/>
                    </w:rPr>
                    <w:t>08月12日</w:t>
                  </w:r>
                </w:p>
              </w:tc>
              <w:tc>
                <w:tcPr>
                  <w:tcW w:w="807"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项目厂址中心HG1</w:t>
                  </w: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653" w:type="pct"/>
                  <w:noWrap w:val="0"/>
                  <w:vAlign w:val="center"/>
                </w:tcPr>
                <w:p>
                  <w:pPr>
                    <w:adjustRightInd w:val="0"/>
                    <w:spacing w:line="240" w:lineRule="auto"/>
                    <w:jc w:val="center"/>
                    <w:rPr>
                      <w:rFonts w:ascii="Times New Roman" w:hAnsi="Times New Roman"/>
                      <w:bCs/>
                      <w:color w:val="auto"/>
                      <w:sz w:val="21"/>
                      <w:szCs w:val="21"/>
                    </w:rPr>
                  </w:pPr>
                  <w:r>
                    <w:rPr>
                      <w:rFonts w:ascii="Times New Roman" w:hAnsi="Times New Roman"/>
                      <w:color w:val="auto"/>
                      <w:sz w:val="21"/>
                      <w:szCs w:val="21"/>
                    </w:rPr>
                    <w:t>0.67</w:t>
                  </w:r>
                </w:p>
              </w:tc>
              <w:tc>
                <w:tcPr>
                  <w:tcW w:w="653" w:type="pct"/>
                  <w:noWrap w:val="0"/>
                  <w:vAlign w:val="center"/>
                </w:tcPr>
                <w:p>
                  <w:pPr>
                    <w:adjustRightInd w:val="0"/>
                    <w:spacing w:line="240" w:lineRule="auto"/>
                    <w:jc w:val="center"/>
                    <w:rPr>
                      <w:rFonts w:ascii="Times New Roman" w:hAnsi="Times New Roman"/>
                      <w:bCs/>
                      <w:color w:val="auto"/>
                      <w:sz w:val="21"/>
                      <w:szCs w:val="21"/>
                    </w:rPr>
                  </w:pPr>
                  <w:r>
                    <w:rPr>
                      <w:rFonts w:ascii="Times New Roman" w:hAnsi="Times New Roman"/>
                      <w:color w:val="auto"/>
                      <w:sz w:val="21"/>
                      <w:szCs w:val="21"/>
                    </w:rPr>
                    <w:t>0.64</w:t>
                  </w:r>
                </w:p>
              </w:tc>
              <w:tc>
                <w:tcPr>
                  <w:tcW w:w="654" w:type="pct"/>
                  <w:noWrap w:val="0"/>
                  <w:vAlign w:val="center"/>
                </w:tcPr>
                <w:p>
                  <w:pPr>
                    <w:adjustRightInd w:val="0"/>
                    <w:spacing w:line="240" w:lineRule="auto"/>
                    <w:jc w:val="center"/>
                    <w:rPr>
                      <w:rFonts w:ascii="Times New Roman" w:hAnsi="Times New Roman"/>
                      <w:bCs/>
                      <w:color w:val="auto"/>
                      <w:sz w:val="21"/>
                      <w:szCs w:val="21"/>
                    </w:rPr>
                  </w:pPr>
                  <w:r>
                    <w:rPr>
                      <w:rFonts w:ascii="Times New Roman" w:hAnsi="Times New Roman"/>
                      <w:color w:val="auto"/>
                      <w:sz w:val="21"/>
                      <w:szCs w:val="21"/>
                    </w:rPr>
                    <w:t>0.85</w:t>
                  </w:r>
                </w:p>
              </w:tc>
              <w:tc>
                <w:tcPr>
                  <w:tcW w:w="663" w:type="pct"/>
                  <w:noWrap w:val="0"/>
                  <w:vAlign w:val="center"/>
                </w:tcPr>
                <w:p>
                  <w:pPr>
                    <w:adjustRightInd w:val="0"/>
                    <w:spacing w:line="240" w:lineRule="auto"/>
                    <w:jc w:val="center"/>
                    <w:rPr>
                      <w:rFonts w:ascii="Times New Roman" w:hAnsi="Times New Roman"/>
                      <w:bCs/>
                      <w:color w:val="auto"/>
                      <w:sz w:val="21"/>
                      <w:szCs w:val="21"/>
                    </w:rPr>
                  </w:pPr>
                  <w:r>
                    <w:rPr>
                      <w:rFonts w:ascii="Times New Roman" w:hAnsi="Times New Roman"/>
                      <w:color w:val="auto"/>
                      <w:sz w:val="21"/>
                      <w:szCs w:val="21"/>
                    </w:rPr>
                    <w:t>0.52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总悬浮颗粒物</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pStyle w:val="87"/>
                    <w:jc w:val="center"/>
                    <w:rPr>
                      <w:rFonts w:ascii="Times New Roman" w:cs="Times New Roman"/>
                      <w:color w:val="auto"/>
                      <w:kern w:val="2"/>
                      <w:sz w:val="21"/>
                      <w:szCs w:val="21"/>
                    </w:rPr>
                  </w:pPr>
                </w:p>
              </w:tc>
              <w:tc>
                <w:tcPr>
                  <w:tcW w:w="807"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项目厂址下风向106m居民处HG2</w:t>
                  </w: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0.91</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0.95</w:t>
                  </w:r>
                </w:p>
              </w:tc>
              <w:tc>
                <w:tcPr>
                  <w:tcW w:w="654"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0.86</w:t>
                  </w:r>
                </w:p>
              </w:tc>
              <w:tc>
                <w:tcPr>
                  <w:tcW w:w="66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总悬浮颗粒物</w:t>
                  </w:r>
                </w:p>
              </w:tc>
              <w:tc>
                <w:tcPr>
                  <w:tcW w:w="2626" w:type="pct"/>
                  <w:gridSpan w:val="4"/>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restart"/>
                  <w:noWrap w:val="0"/>
                  <w:vAlign w:val="center"/>
                </w:tcPr>
                <w:p>
                  <w:pPr>
                    <w:pStyle w:val="87"/>
                    <w:jc w:val="center"/>
                    <w:rPr>
                      <w:rFonts w:ascii="Times New Roman" w:cs="Times New Roman"/>
                      <w:color w:val="auto"/>
                      <w:kern w:val="2"/>
                      <w:sz w:val="21"/>
                      <w:szCs w:val="21"/>
                    </w:rPr>
                  </w:pPr>
                  <w:r>
                    <w:rPr>
                      <w:rFonts w:ascii="Times New Roman" w:cs="Times New Roman"/>
                      <w:color w:val="auto"/>
                      <w:sz w:val="21"/>
                      <w:szCs w:val="21"/>
                    </w:rPr>
                    <w:t>08月13日</w:t>
                  </w:r>
                </w:p>
              </w:tc>
              <w:tc>
                <w:tcPr>
                  <w:tcW w:w="807"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项目厂址中心HG1</w:t>
                  </w: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0.55</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0.68</w:t>
                  </w:r>
                </w:p>
              </w:tc>
              <w:tc>
                <w:tcPr>
                  <w:tcW w:w="654"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0.72</w:t>
                  </w:r>
                </w:p>
              </w:tc>
              <w:tc>
                <w:tcPr>
                  <w:tcW w:w="66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总悬浮颗粒物</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0.227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pStyle w:val="87"/>
                    <w:jc w:val="center"/>
                    <w:rPr>
                      <w:rFonts w:ascii="Times New Roman" w:cs="Times New Roman"/>
                      <w:color w:val="auto"/>
                      <w:kern w:val="2"/>
                      <w:sz w:val="21"/>
                      <w:szCs w:val="21"/>
                    </w:rPr>
                  </w:pPr>
                </w:p>
              </w:tc>
              <w:tc>
                <w:tcPr>
                  <w:tcW w:w="807"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项目厂址下风向106m居民处HG2</w:t>
                  </w: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0.65</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0.74</w:t>
                  </w:r>
                </w:p>
              </w:tc>
              <w:tc>
                <w:tcPr>
                  <w:tcW w:w="654"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0.70</w:t>
                  </w:r>
                </w:p>
              </w:tc>
              <w:tc>
                <w:tcPr>
                  <w:tcW w:w="66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总悬浮颗粒物</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0.205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restart"/>
                  <w:noWrap w:val="0"/>
                  <w:vAlign w:val="center"/>
                </w:tcPr>
                <w:p>
                  <w:pPr>
                    <w:pStyle w:val="87"/>
                    <w:jc w:val="center"/>
                    <w:rPr>
                      <w:rFonts w:ascii="Times New Roman" w:cs="Times New Roman"/>
                      <w:color w:val="auto"/>
                      <w:kern w:val="2"/>
                      <w:sz w:val="21"/>
                      <w:szCs w:val="21"/>
                    </w:rPr>
                  </w:pPr>
                  <w:r>
                    <w:rPr>
                      <w:rFonts w:ascii="Times New Roman" w:cs="Times New Roman"/>
                      <w:color w:val="auto"/>
                      <w:sz w:val="21"/>
                      <w:szCs w:val="21"/>
                    </w:rPr>
                    <w:t>08月14日</w:t>
                  </w:r>
                </w:p>
              </w:tc>
              <w:tc>
                <w:tcPr>
                  <w:tcW w:w="807"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项目厂址中心HG1</w:t>
                  </w: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0.53</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0.67</w:t>
                  </w:r>
                </w:p>
              </w:tc>
              <w:tc>
                <w:tcPr>
                  <w:tcW w:w="654"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0.55</w:t>
                  </w:r>
                </w:p>
              </w:tc>
              <w:tc>
                <w:tcPr>
                  <w:tcW w:w="66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总悬浮颗粒物</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pStyle w:val="87"/>
                    <w:jc w:val="center"/>
                    <w:rPr>
                      <w:rFonts w:ascii="Times New Roman" w:cs="Times New Roman"/>
                      <w:color w:val="auto"/>
                      <w:kern w:val="2"/>
                      <w:sz w:val="21"/>
                      <w:szCs w:val="21"/>
                    </w:rPr>
                  </w:pPr>
                </w:p>
              </w:tc>
              <w:tc>
                <w:tcPr>
                  <w:tcW w:w="807"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项目厂址下风向106m居民处HG2</w:t>
                  </w: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0.49</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0.57</w:t>
                  </w:r>
                </w:p>
              </w:tc>
              <w:tc>
                <w:tcPr>
                  <w:tcW w:w="654"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0.54</w:t>
                  </w:r>
                </w:p>
              </w:tc>
              <w:tc>
                <w:tcPr>
                  <w:tcW w:w="66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总悬浮颗粒物</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restart"/>
                  <w:noWrap w:val="0"/>
                  <w:vAlign w:val="center"/>
                </w:tcPr>
                <w:p>
                  <w:pPr>
                    <w:pStyle w:val="87"/>
                    <w:jc w:val="center"/>
                    <w:rPr>
                      <w:rFonts w:ascii="Times New Roman" w:cs="Times New Roman"/>
                      <w:color w:val="auto"/>
                      <w:kern w:val="2"/>
                      <w:sz w:val="21"/>
                      <w:szCs w:val="21"/>
                    </w:rPr>
                  </w:pPr>
                  <w:r>
                    <w:rPr>
                      <w:rFonts w:ascii="Times New Roman" w:cs="Times New Roman"/>
                      <w:color w:val="auto"/>
                      <w:sz w:val="21"/>
                      <w:szCs w:val="21"/>
                    </w:rPr>
                    <w:t>08月15日</w:t>
                  </w:r>
                </w:p>
              </w:tc>
              <w:tc>
                <w:tcPr>
                  <w:tcW w:w="807"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项目厂址中心HG1</w:t>
                  </w: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0.52</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0.63</w:t>
                  </w:r>
                </w:p>
              </w:tc>
              <w:tc>
                <w:tcPr>
                  <w:tcW w:w="654"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0.58</w:t>
                  </w:r>
                </w:p>
              </w:tc>
              <w:tc>
                <w:tcPr>
                  <w:tcW w:w="66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总悬浮颗粒物</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pStyle w:val="87"/>
                    <w:jc w:val="center"/>
                    <w:rPr>
                      <w:rFonts w:ascii="Times New Roman" w:cs="Times New Roman"/>
                      <w:color w:val="auto"/>
                      <w:kern w:val="2"/>
                      <w:sz w:val="21"/>
                      <w:szCs w:val="21"/>
                    </w:rPr>
                  </w:pPr>
                </w:p>
              </w:tc>
              <w:tc>
                <w:tcPr>
                  <w:tcW w:w="807"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项目厂址下风向106m居民处HG2</w:t>
                  </w: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0.52</w:t>
                  </w:r>
                </w:p>
              </w:tc>
              <w:tc>
                <w:tcPr>
                  <w:tcW w:w="65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0.57</w:t>
                  </w:r>
                </w:p>
              </w:tc>
              <w:tc>
                <w:tcPr>
                  <w:tcW w:w="654"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0.62</w:t>
                  </w:r>
                </w:p>
              </w:tc>
              <w:tc>
                <w:tcPr>
                  <w:tcW w:w="663" w:type="pct"/>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总悬浮颗粒物</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0.272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7" w:type="pct"/>
                  <w:vMerge w:val="continue"/>
                  <w:noWrap w:val="0"/>
                  <w:vAlign w:val="center"/>
                </w:tcPr>
                <w:p>
                  <w:pPr>
                    <w:spacing w:line="240" w:lineRule="auto"/>
                    <w:jc w:val="center"/>
                    <w:rPr>
                      <w:rFonts w:ascii="Times New Roman" w:hAnsi="Times New Roman"/>
                      <w:color w:val="auto"/>
                      <w:sz w:val="21"/>
                      <w:szCs w:val="21"/>
                    </w:rPr>
                  </w:pPr>
                </w:p>
              </w:tc>
              <w:tc>
                <w:tcPr>
                  <w:tcW w:w="807" w:type="pct"/>
                  <w:vMerge w:val="continue"/>
                  <w:noWrap w:val="0"/>
                  <w:vAlign w:val="center"/>
                </w:tcPr>
                <w:p>
                  <w:pPr>
                    <w:spacing w:line="240" w:lineRule="auto"/>
                    <w:jc w:val="center"/>
                    <w:rPr>
                      <w:rFonts w:ascii="Times New Roman" w:hAnsi="Times New Roman"/>
                      <w:color w:val="auto"/>
                      <w:sz w:val="21"/>
                      <w:szCs w:val="21"/>
                    </w:rPr>
                  </w:pPr>
                </w:p>
              </w:tc>
              <w:tc>
                <w:tcPr>
                  <w:tcW w:w="107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2626" w:type="pct"/>
                  <w:gridSpan w:val="4"/>
                  <w:noWrap w:val="0"/>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＜10</w:t>
                  </w:r>
                </w:p>
              </w:tc>
            </w:tr>
          </w:tbl>
          <w:p>
            <w:pPr>
              <w:spacing w:line="360" w:lineRule="auto"/>
              <w:ind w:firstLine="480" w:firstLineChars="200"/>
              <w:jc w:val="left"/>
              <w:rPr>
                <w:rFonts w:ascii="Times New Roman" w:hAnsi="Times New Roman"/>
                <w:color w:val="auto"/>
                <w:sz w:val="24"/>
                <w:szCs w:val="32"/>
              </w:rPr>
            </w:pPr>
            <w:r>
              <w:rPr>
                <w:rFonts w:ascii="Times New Roman" w:hAnsi="Times New Roman"/>
                <w:color w:val="auto"/>
                <w:sz w:val="24"/>
                <w:szCs w:val="32"/>
              </w:rPr>
              <w:t>（7）评价方法</w:t>
            </w:r>
          </w:p>
          <w:p>
            <w:pPr>
              <w:spacing w:line="360" w:lineRule="auto"/>
              <w:ind w:firstLine="480" w:firstLineChars="200"/>
              <w:jc w:val="left"/>
              <w:rPr>
                <w:rFonts w:ascii="Times New Roman" w:hAnsi="Times New Roman"/>
                <w:color w:val="auto"/>
                <w:sz w:val="24"/>
                <w:szCs w:val="32"/>
              </w:rPr>
            </w:pPr>
            <w:r>
              <w:rPr>
                <w:rFonts w:ascii="Times New Roman" w:hAnsi="Times New Roman"/>
                <w:color w:val="auto"/>
                <w:sz w:val="24"/>
                <w:szCs w:val="32"/>
              </w:rPr>
              <w:t>采用单因子指数法对大气环境现状进行评价，其数学模式如下：</w:t>
            </w:r>
          </w:p>
          <w:p>
            <w:pPr>
              <w:spacing w:line="360" w:lineRule="auto"/>
              <w:jc w:val="center"/>
              <w:rPr>
                <w:rFonts w:hint="eastAsia"/>
                <w:color w:val="auto"/>
                <w:szCs w:val="24"/>
              </w:rPr>
            </w:pPr>
            <w:r>
              <w:rPr>
                <w:rFonts w:hint="eastAsia"/>
                <w:color w:val="auto"/>
                <w:position w:val="-30"/>
                <w:szCs w:val="24"/>
              </w:rPr>
              <w:object>
                <v:shape id="_x0000_i1032" o:spt="75" type="#_x0000_t75" style="height:34pt;width:38pt;" o:ole="t" filled="f" o:preferrelative="t" stroked="f" coordsize="21600,21600">
                  <v:path/>
                  <v:fill on="f" focussize="0,0"/>
                  <v:stroke on="f"/>
                  <v:imagedata r:id="rId43" o:title=""/>
                  <o:lock v:ext="edit" aspectratio="t"/>
                  <w10:wrap type="none"/>
                  <w10:anchorlock/>
                </v:shape>
                <o:OLEObject Type="Embed" ProgID="Equation.KSEE3" ShapeID="_x0000_i1032" DrawAspect="Content" ObjectID="_1468075732" r:id="rId42">
                  <o:LockedField>false</o:LockedField>
                </o:OLEObject>
              </w:object>
            </w:r>
          </w:p>
          <w:p>
            <w:pPr>
              <w:spacing w:line="360" w:lineRule="auto"/>
              <w:ind w:firstLine="480" w:firstLineChars="200"/>
              <w:jc w:val="left"/>
              <w:rPr>
                <w:rFonts w:ascii="Times New Roman" w:hAnsi="Times New Roman"/>
                <w:color w:val="auto"/>
                <w:sz w:val="24"/>
                <w:szCs w:val="32"/>
              </w:rPr>
            </w:pPr>
            <w:r>
              <w:rPr>
                <w:rFonts w:ascii="Times New Roman" w:hAnsi="Times New Roman"/>
                <w:color w:val="auto"/>
                <w:sz w:val="24"/>
                <w:szCs w:val="32"/>
              </w:rPr>
              <w:t>式中：P</w:t>
            </w:r>
            <w:r>
              <w:rPr>
                <w:rFonts w:ascii="Times New Roman" w:hAnsi="Times New Roman"/>
                <w:color w:val="auto"/>
                <w:sz w:val="24"/>
                <w:szCs w:val="32"/>
                <w:vertAlign w:val="subscript"/>
              </w:rPr>
              <w:t>i</w:t>
            </w:r>
            <w:r>
              <w:rPr>
                <w:rFonts w:ascii="Times New Roman" w:hAnsi="Times New Roman"/>
                <w:color w:val="auto"/>
                <w:sz w:val="24"/>
                <w:szCs w:val="32"/>
              </w:rPr>
              <w:t>—i种污染物的单项评价指数；</w:t>
            </w:r>
          </w:p>
          <w:p>
            <w:pPr>
              <w:spacing w:line="360" w:lineRule="auto"/>
              <w:ind w:firstLine="1200" w:firstLineChars="500"/>
              <w:jc w:val="left"/>
              <w:rPr>
                <w:rFonts w:ascii="Times New Roman" w:hAnsi="Times New Roman"/>
                <w:color w:val="auto"/>
                <w:sz w:val="24"/>
                <w:szCs w:val="32"/>
              </w:rPr>
            </w:pPr>
            <w:r>
              <w:rPr>
                <w:rFonts w:ascii="Times New Roman" w:hAnsi="Times New Roman"/>
                <w:color w:val="auto"/>
                <w:sz w:val="24"/>
                <w:szCs w:val="32"/>
              </w:rPr>
              <w:t>C</w:t>
            </w:r>
            <w:r>
              <w:rPr>
                <w:rFonts w:ascii="Times New Roman" w:hAnsi="Times New Roman"/>
                <w:color w:val="auto"/>
                <w:sz w:val="24"/>
                <w:szCs w:val="32"/>
                <w:vertAlign w:val="subscript"/>
              </w:rPr>
              <w:t>i</w:t>
            </w:r>
            <w:r>
              <w:rPr>
                <w:rFonts w:ascii="Times New Roman" w:hAnsi="Times New Roman"/>
                <w:color w:val="auto"/>
                <w:sz w:val="24"/>
                <w:szCs w:val="32"/>
              </w:rPr>
              <w:t>—i种污染物的实测浓度，mg/m</w:t>
            </w:r>
            <w:r>
              <w:rPr>
                <w:rFonts w:ascii="Times New Roman" w:hAnsi="Times New Roman"/>
                <w:color w:val="auto"/>
                <w:sz w:val="24"/>
                <w:szCs w:val="32"/>
                <w:vertAlign w:val="superscript"/>
              </w:rPr>
              <w:t>3</w:t>
            </w:r>
            <w:r>
              <w:rPr>
                <w:rFonts w:ascii="Times New Roman" w:hAnsi="Times New Roman"/>
                <w:color w:val="auto"/>
                <w:sz w:val="24"/>
                <w:szCs w:val="32"/>
              </w:rPr>
              <w:t>；</w:t>
            </w:r>
          </w:p>
          <w:p>
            <w:pPr>
              <w:spacing w:line="360" w:lineRule="auto"/>
              <w:ind w:firstLine="1200" w:firstLineChars="500"/>
              <w:jc w:val="left"/>
              <w:rPr>
                <w:rFonts w:ascii="Times New Roman" w:hAnsi="Times New Roman"/>
                <w:color w:val="auto"/>
                <w:sz w:val="24"/>
                <w:szCs w:val="32"/>
              </w:rPr>
            </w:pPr>
            <w:r>
              <w:rPr>
                <w:rFonts w:ascii="Times New Roman" w:hAnsi="Times New Roman"/>
                <w:color w:val="auto"/>
                <w:sz w:val="24"/>
                <w:szCs w:val="32"/>
              </w:rPr>
              <w:t>S</w:t>
            </w:r>
            <w:r>
              <w:rPr>
                <w:rFonts w:ascii="Times New Roman" w:hAnsi="Times New Roman"/>
                <w:color w:val="auto"/>
                <w:sz w:val="24"/>
                <w:szCs w:val="32"/>
                <w:vertAlign w:val="subscript"/>
              </w:rPr>
              <w:t>i</w:t>
            </w:r>
            <w:r>
              <w:rPr>
                <w:rFonts w:ascii="Times New Roman" w:hAnsi="Times New Roman"/>
                <w:color w:val="auto"/>
                <w:sz w:val="24"/>
                <w:szCs w:val="32"/>
              </w:rPr>
              <w:t>—i种污染物的评价标准，mg/m</w:t>
            </w:r>
            <w:r>
              <w:rPr>
                <w:rFonts w:ascii="Times New Roman" w:hAnsi="Times New Roman"/>
                <w:color w:val="auto"/>
                <w:sz w:val="24"/>
                <w:szCs w:val="32"/>
                <w:vertAlign w:val="superscript"/>
              </w:rPr>
              <w:t>3</w:t>
            </w:r>
            <w:r>
              <w:rPr>
                <w:rFonts w:ascii="Times New Roman" w:hAnsi="Times New Roman"/>
                <w:color w:val="auto"/>
                <w:sz w:val="24"/>
                <w:szCs w:val="32"/>
              </w:rPr>
              <w:t>；</w:t>
            </w:r>
          </w:p>
          <w:p>
            <w:pPr>
              <w:spacing w:line="360" w:lineRule="auto"/>
              <w:ind w:firstLine="480" w:firstLineChars="200"/>
              <w:jc w:val="left"/>
              <w:rPr>
                <w:rFonts w:ascii="Times New Roman" w:hAnsi="Times New Roman"/>
                <w:color w:val="auto"/>
                <w:sz w:val="24"/>
                <w:szCs w:val="32"/>
              </w:rPr>
            </w:pPr>
            <w:r>
              <w:rPr>
                <w:rFonts w:ascii="Times New Roman" w:hAnsi="Times New Roman"/>
                <w:color w:val="auto"/>
                <w:sz w:val="24"/>
                <w:szCs w:val="32"/>
              </w:rPr>
              <w:t>根据污染物单因子指数计算结果，分析环境空气质量现状，论证其是否满足项目所在区域功能规划的要求，为项目实施对环境空气的影响分析提供依据。</w:t>
            </w:r>
          </w:p>
          <w:p>
            <w:pPr>
              <w:spacing w:line="360" w:lineRule="auto"/>
              <w:ind w:firstLine="480" w:firstLineChars="200"/>
              <w:jc w:val="left"/>
              <w:rPr>
                <w:rFonts w:ascii="Times New Roman" w:hAnsi="Times New Roman"/>
                <w:color w:val="auto"/>
                <w:sz w:val="24"/>
                <w:szCs w:val="32"/>
              </w:rPr>
            </w:pPr>
            <w:r>
              <w:rPr>
                <w:rFonts w:ascii="Times New Roman" w:hAnsi="Times New Roman"/>
                <w:color w:val="auto"/>
                <w:sz w:val="24"/>
                <w:szCs w:val="32"/>
              </w:rPr>
              <w:t>（8）环境空气质量现状评价结果</w:t>
            </w:r>
          </w:p>
          <w:p>
            <w:pPr>
              <w:spacing w:line="360" w:lineRule="auto"/>
              <w:ind w:firstLine="480" w:firstLineChars="200"/>
              <w:jc w:val="left"/>
              <w:rPr>
                <w:rFonts w:ascii="Times New Roman" w:hAnsi="Times New Roman"/>
                <w:color w:val="auto"/>
                <w:sz w:val="24"/>
                <w:szCs w:val="32"/>
              </w:rPr>
            </w:pPr>
            <w:r>
              <w:rPr>
                <w:rFonts w:ascii="Times New Roman" w:hAnsi="Times New Roman"/>
                <w:color w:val="auto"/>
                <w:sz w:val="24"/>
                <w:szCs w:val="32"/>
              </w:rPr>
              <w:t>评价结果见下表：</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表3-</w:t>
            </w:r>
            <w:r>
              <w:rPr>
                <w:rFonts w:hint="eastAsia" w:ascii="Times New Roman" w:hAnsi="Times New Roman"/>
                <w:b/>
                <w:bCs/>
                <w:color w:val="auto"/>
                <w:sz w:val="21"/>
                <w:szCs w:val="21"/>
                <w:lang w:val="en-US" w:eastAsia="zh-CN"/>
              </w:rPr>
              <w:t>5</w:t>
            </w:r>
            <w:r>
              <w:rPr>
                <w:rFonts w:ascii="Times New Roman" w:hAnsi="Times New Roman"/>
                <w:b/>
                <w:bCs/>
                <w:color w:val="auto"/>
                <w:sz w:val="21"/>
                <w:szCs w:val="21"/>
              </w:rPr>
              <w:t xml:space="preserve">  大气环境现状补充监测结果评价</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714"/>
              <w:gridCol w:w="1085"/>
              <w:gridCol w:w="2074"/>
              <w:gridCol w:w="1198"/>
              <w:gridCol w:w="1189"/>
              <w:gridCol w:w="1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954" w:type="dxa"/>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污染物</w:t>
                  </w:r>
                </w:p>
              </w:tc>
              <w:tc>
                <w:tcPr>
                  <w:tcW w:w="725" w:type="dxa"/>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平均时间</w:t>
                  </w:r>
                </w:p>
              </w:tc>
              <w:tc>
                <w:tcPr>
                  <w:tcW w:w="1087" w:type="dxa"/>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评价标准</w:t>
                  </w:r>
                </w:p>
              </w:tc>
              <w:tc>
                <w:tcPr>
                  <w:tcW w:w="2106" w:type="dxa"/>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监测浓度范围</w:t>
                  </w:r>
                </w:p>
              </w:tc>
              <w:tc>
                <w:tcPr>
                  <w:tcW w:w="1218" w:type="dxa"/>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最大浓度占标率/%</w:t>
                  </w:r>
                </w:p>
              </w:tc>
              <w:tc>
                <w:tcPr>
                  <w:tcW w:w="1219" w:type="dxa"/>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超标率</w:t>
                  </w:r>
                </w:p>
              </w:tc>
              <w:tc>
                <w:tcPr>
                  <w:tcW w:w="1219" w:type="dxa"/>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非甲烷总烃</w:t>
                  </w:r>
                </w:p>
              </w:tc>
              <w:tc>
                <w:tcPr>
                  <w:tcW w:w="725"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小时值</w:t>
                  </w:r>
                </w:p>
              </w:tc>
              <w:tc>
                <w:tcPr>
                  <w:tcW w:w="1087"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2.0mg/m</w:t>
                  </w:r>
                  <w:r>
                    <w:rPr>
                      <w:rFonts w:ascii="Times New Roman" w:hAnsi="Times New Roman"/>
                      <w:color w:val="auto"/>
                      <w:sz w:val="21"/>
                      <w:szCs w:val="21"/>
                      <w:vertAlign w:val="superscript"/>
                    </w:rPr>
                    <w:t>3</w:t>
                  </w:r>
                </w:p>
              </w:tc>
              <w:tc>
                <w:tcPr>
                  <w:tcW w:w="2106"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＜0.33~0.95（mg/m</w:t>
                  </w:r>
                  <w:r>
                    <w:rPr>
                      <w:rFonts w:ascii="Times New Roman" w:hAnsi="Times New Roman"/>
                      <w:color w:val="auto"/>
                      <w:sz w:val="21"/>
                      <w:szCs w:val="21"/>
                      <w:vertAlign w:val="superscript"/>
                    </w:rPr>
                    <w:t>3</w:t>
                  </w:r>
                  <w:r>
                    <w:rPr>
                      <w:rFonts w:ascii="Times New Roman" w:hAnsi="Times New Roman"/>
                      <w:color w:val="auto"/>
                      <w:sz w:val="21"/>
                      <w:szCs w:val="21"/>
                    </w:rPr>
                    <w:t>）</w:t>
                  </w:r>
                </w:p>
              </w:tc>
              <w:tc>
                <w:tcPr>
                  <w:tcW w:w="1218"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0.475</w:t>
                  </w:r>
                </w:p>
              </w:tc>
              <w:tc>
                <w:tcPr>
                  <w:tcW w:w="1219"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219"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725"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87"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2106"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＜10（无量纲）</w:t>
                  </w:r>
                </w:p>
              </w:tc>
              <w:tc>
                <w:tcPr>
                  <w:tcW w:w="1218"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219"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219"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954"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总悬浮颗粒物</w:t>
                  </w:r>
                </w:p>
              </w:tc>
              <w:tc>
                <w:tcPr>
                  <w:tcW w:w="725"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日均值</w:t>
                  </w:r>
                </w:p>
              </w:tc>
              <w:tc>
                <w:tcPr>
                  <w:tcW w:w="1087"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0.3mg/m</w:t>
                  </w:r>
                  <w:r>
                    <w:rPr>
                      <w:rFonts w:ascii="Times New Roman" w:hAnsi="Times New Roman"/>
                      <w:color w:val="auto"/>
                      <w:sz w:val="21"/>
                      <w:szCs w:val="21"/>
                      <w:vertAlign w:val="superscript"/>
                    </w:rPr>
                    <w:t>3</w:t>
                  </w:r>
                </w:p>
              </w:tc>
              <w:tc>
                <w:tcPr>
                  <w:tcW w:w="2106"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＜0.205~0.278（mg/m</w:t>
                  </w:r>
                  <w:r>
                    <w:rPr>
                      <w:rFonts w:ascii="Times New Roman" w:hAnsi="Times New Roman"/>
                      <w:color w:val="auto"/>
                      <w:sz w:val="21"/>
                      <w:szCs w:val="21"/>
                      <w:vertAlign w:val="superscript"/>
                    </w:rPr>
                    <w:t>3</w:t>
                  </w:r>
                  <w:r>
                    <w:rPr>
                      <w:rFonts w:ascii="Times New Roman" w:hAnsi="Times New Roman"/>
                      <w:color w:val="auto"/>
                      <w:sz w:val="21"/>
                      <w:szCs w:val="21"/>
                    </w:rPr>
                    <w:t>）</w:t>
                  </w:r>
                </w:p>
              </w:tc>
              <w:tc>
                <w:tcPr>
                  <w:tcW w:w="1218"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0.927</w:t>
                  </w:r>
                </w:p>
              </w:tc>
              <w:tc>
                <w:tcPr>
                  <w:tcW w:w="1219"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219"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32"/>
                <w:szCs w:val="32"/>
              </w:rPr>
            </w:pPr>
            <w:r>
              <w:rPr>
                <w:rFonts w:hint="eastAsia"/>
                <w:color w:val="auto"/>
                <w:sz w:val="24"/>
                <w:szCs w:val="32"/>
              </w:rPr>
              <w:t>由评价结果可知，本项目所在区域的环境空气现状监测指标中的其他污染物非甲烷总烃小时值、总悬浮颗粒物日均值能达标，臭气浓度较小。</w:t>
            </w:r>
          </w:p>
          <w:p>
            <w:pPr>
              <w:spacing w:line="360" w:lineRule="auto"/>
              <w:rPr>
                <w:b/>
                <w:bCs/>
                <w:color w:val="auto"/>
                <w:sz w:val="24"/>
                <w:szCs w:val="24"/>
              </w:rPr>
            </w:pPr>
            <w:r>
              <w:rPr>
                <w:b/>
                <w:bCs/>
                <w:color w:val="auto"/>
                <w:sz w:val="24"/>
                <w:szCs w:val="24"/>
              </w:rPr>
              <w:t>二</w:t>
            </w:r>
            <w:r>
              <w:rPr>
                <w:rFonts w:hint="eastAsia"/>
                <w:b/>
                <w:bCs/>
                <w:color w:val="auto"/>
                <w:sz w:val="24"/>
                <w:szCs w:val="24"/>
                <w:lang w:eastAsia="zh-CN"/>
              </w:rPr>
              <w:t>、</w:t>
            </w:r>
            <w:r>
              <w:rPr>
                <w:b/>
                <w:bCs/>
                <w:color w:val="auto"/>
                <w:sz w:val="24"/>
                <w:szCs w:val="24"/>
              </w:rPr>
              <w:t>地表水环境质量现状</w:t>
            </w:r>
          </w:p>
          <w:p>
            <w:pPr>
              <w:spacing w:line="360" w:lineRule="auto"/>
              <w:ind w:firstLine="480" w:firstLineChars="200"/>
              <w:rPr>
                <w:color w:val="auto"/>
                <w:sz w:val="24"/>
                <w:szCs w:val="24"/>
              </w:rPr>
            </w:pPr>
            <w:r>
              <w:rPr>
                <w:rFonts w:hint="eastAsia"/>
                <w:color w:val="auto"/>
                <w:sz w:val="24"/>
                <w:szCs w:val="24"/>
              </w:rPr>
              <w:t>根据《建设项目环境影响报告表编制技术指南（污染影响类）》（试行）：项目所在区域地表水环境质量现状引用与建设项目距离近的有效数据，包括近3年的规划环境影响评价的监测数据，所在流域控制单元内国家、地方控制断面监测数据，生态环境主管部门发布的水环境质量数据或地表水达标情况的结论。</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64" w:firstLineChars="200"/>
              <w:textAlignment w:val="auto"/>
              <w:rPr>
                <w:rFonts w:hint="eastAsia"/>
                <w:color w:val="auto"/>
                <w:sz w:val="24"/>
                <w:szCs w:val="24"/>
              </w:rPr>
            </w:pPr>
            <w:r>
              <w:rPr>
                <w:rFonts w:hint="default" w:ascii="Times New Roman" w:hAnsi="Times New Roman" w:cs="Times New Roman"/>
                <w:color w:val="auto"/>
                <w:spacing w:val="-4"/>
                <w:sz w:val="24"/>
                <w:szCs w:val="24"/>
              </w:rPr>
              <w:t>根据乐山市生态环境局网站上公布的《2020年乐山市环境质量公报》</w:t>
            </w:r>
            <w:r>
              <w:rPr>
                <w:color w:val="auto"/>
                <w:sz w:val="24"/>
                <w:szCs w:val="24"/>
              </w:rPr>
              <w:t>，“</w:t>
            </w:r>
            <w:r>
              <w:rPr>
                <w:rFonts w:hint="eastAsia"/>
                <w:color w:val="auto"/>
                <w:sz w:val="24"/>
                <w:szCs w:val="24"/>
              </w:rPr>
              <w:t>2020 年水环境质量创“十三五”以来最好水平，岷江乐山段出境断面月波水质从“十二五”末Ⅴ类，于“十三五”末改善至Ⅱ类。全市4个国家考核断面李码头、姜公堰、马边河河口断面、出境断面月波水质均为Ⅱ类，水质优；2个省级考核断面龙溪河口水质为Ⅱ类，水质优，茫溪河茫溪大桥断面达到Ⅳ类水质目标考核要求。</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auto"/>
                <w:sz w:val="24"/>
                <w:szCs w:val="24"/>
              </w:rPr>
            </w:pPr>
            <w:r>
              <w:rPr>
                <w:rFonts w:hint="eastAsia"/>
                <w:color w:val="auto"/>
                <w:sz w:val="24"/>
                <w:szCs w:val="24"/>
              </w:rPr>
              <w:t>2020 年，为了进一步完善地表水监测网络，乐山市设置了38个市控断面，主要集中在小支流。其中，岷江乐山段干流及其支流断面水质类别为Ⅱ～Ⅴ类；大渡河干流及其支流断面水质类别为Ⅱ～Ⅲ类；青衣江干流及支流断面水质类别为Ⅱ～Ⅲ类；马边河干流及其支流断面水质类别为Ⅱ～Ⅲ类；茫溪河干流及其支流断面水质类别为Ⅲ～劣Ⅴ类；龙溪河断面水质类别为Ⅱ类。</w:t>
            </w:r>
          </w:p>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另根据乐山市生态环境局公开发布的《地表水水质质量月报》（2021年1月-2021年12月）中的数据及结论，岷江干流乐山段共设置有3个监测断面（悦来渡口、马鞍山、月波），3个断面近1年的监测结果如表3-6</w:t>
            </w:r>
            <w:r>
              <w:rPr>
                <w:rFonts w:hint="default" w:ascii="Times New Roman" w:hAnsi="Times New Roman" w:eastAsia="宋体" w:cs="Times New Roman"/>
                <w:color w:val="auto"/>
                <w:sz w:val="24"/>
                <w:szCs w:val="24"/>
              </w:rPr>
              <w:t>。</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rPr>
              <w:t>3</w:t>
            </w:r>
            <w:r>
              <w:rPr>
                <w:rFonts w:ascii="Times New Roman" w:hAnsi="Times New Roman"/>
                <w:b/>
                <w:bCs/>
                <w:color w:val="auto"/>
                <w:sz w:val="21"/>
                <w:szCs w:val="21"/>
              </w:rPr>
              <w:t>-</w:t>
            </w:r>
            <w:r>
              <w:rPr>
                <w:rFonts w:hint="eastAsia" w:ascii="Times New Roman" w:hAnsi="Times New Roman"/>
                <w:b/>
                <w:bCs/>
                <w:color w:val="auto"/>
                <w:sz w:val="21"/>
                <w:szCs w:val="21"/>
              </w:rPr>
              <w:t>6</w:t>
            </w:r>
            <w:r>
              <w:rPr>
                <w:rFonts w:ascii="Times New Roman" w:hAnsi="Times New Roman"/>
                <w:b/>
                <w:bCs/>
                <w:color w:val="auto"/>
                <w:sz w:val="21"/>
                <w:szCs w:val="21"/>
              </w:rPr>
              <w:t xml:space="preserve">  岷江干流乐山段地表水水质评价结果统计表（近1年）</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2417"/>
              <w:gridCol w:w="2359"/>
              <w:gridCol w:w="2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vMerge w:val="restar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断面时间</w:t>
                  </w:r>
                </w:p>
              </w:tc>
              <w:tc>
                <w:tcPr>
                  <w:tcW w:w="4205" w:type="pct"/>
                  <w:gridSpan w:val="3"/>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岷江干流乐山段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vMerge w:val="continue"/>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p>
              </w:tc>
              <w:tc>
                <w:tcPr>
                  <w:tcW w:w="1442"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悦来渡口（入境）</w:t>
                  </w:r>
                </w:p>
              </w:tc>
              <w:tc>
                <w:tcPr>
                  <w:tcW w:w="1407"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马鞍山</w:t>
                  </w:r>
                </w:p>
              </w:tc>
              <w:tc>
                <w:tcPr>
                  <w:tcW w:w="1356"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月波（出境）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noWrap w:val="0"/>
                  <w:vAlign w:val="center"/>
                </w:tcPr>
                <w:p>
                  <w:pPr>
                    <w:spacing w:line="240" w:lineRule="auto"/>
                    <w:jc w:val="center"/>
                    <w:rPr>
                      <w:rFonts w:ascii="Times New Roman" w:hAnsi="Times New Roman"/>
                      <w:bCs/>
                      <w:color w:val="auto"/>
                      <w:sz w:val="21"/>
                      <w:szCs w:val="21"/>
                    </w:rPr>
                  </w:pPr>
                  <w:r>
                    <w:rPr>
                      <w:rFonts w:hint="eastAsia"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hint="eastAsia" w:ascii="Times New Roman" w:hAnsi="Times New Roman"/>
                      <w:bCs/>
                      <w:color w:val="auto"/>
                      <w:sz w:val="21"/>
                      <w:szCs w:val="21"/>
                    </w:rPr>
                    <w:t>.12</w:t>
                  </w:r>
                </w:p>
              </w:tc>
              <w:tc>
                <w:tcPr>
                  <w:tcW w:w="2417"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2359"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2273"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noWrap w:val="0"/>
                  <w:vAlign w:val="center"/>
                </w:tcPr>
                <w:p>
                  <w:pPr>
                    <w:spacing w:line="240" w:lineRule="auto"/>
                    <w:jc w:val="center"/>
                    <w:rPr>
                      <w:rFonts w:ascii="Times New Roman" w:hAnsi="Times New Roman"/>
                      <w:bCs/>
                      <w:color w:val="auto"/>
                      <w:sz w:val="21"/>
                      <w:szCs w:val="21"/>
                    </w:rPr>
                  </w:pPr>
                  <w:r>
                    <w:rPr>
                      <w:rFonts w:hint="eastAsia"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hint="eastAsia" w:ascii="Times New Roman" w:hAnsi="Times New Roman"/>
                      <w:bCs/>
                      <w:color w:val="auto"/>
                      <w:sz w:val="21"/>
                      <w:szCs w:val="21"/>
                    </w:rPr>
                    <w:t>.11</w:t>
                  </w:r>
                </w:p>
              </w:tc>
              <w:tc>
                <w:tcPr>
                  <w:tcW w:w="1442"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1407"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1356"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31" w:type="dxa"/>
                  <w:noWrap w:val="0"/>
                  <w:vAlign w:val="center"/>
                </w:tcPr>
                <w:p>
                  <w:pPr>
                    <w:spacing w:line="240" w:lineRule="auto"/>
                    <w:jc w:val="center"/>
                    <w:rPr>
                      <w:rFonts w:hint="default" w:ascii="Times New Roman" w:hAnsi="Times New Roman" w:eastAsia="宋体"/>
                      <w:bCs/>
                      <w:color w:val="auto"/>
                      <w:sz w:val="21"/>
                      <w:szCs w:val="21"/>
                      <w:lang w:val="en-US" w:eastAsia="zh-CN"/>
                    </w:rPr>
                  </w:pPr>
                  <w:r>
                    <w:rPr>
                      <w:rFonts w:hint="eastAsia"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hint="eastAsia" w:ascii="Times New Roman" w:hAnsi="Times New Roman"/>
                      <w:bCs/>
                      <w:color w:val="auto"/>
                      <w:sz w:val="21"/>
                      <w:szCs w:val="21"/>
                    </w:rPr>
                    <w:t>.</w:t>
                  </w:r>
                  <w:r>
                    <w:rPr>
                      <w:rFonts w:hint="eastAsia" w:ascii="Times New Roman" w:hAnsi="Times New Roman"/>
                      <w:bCs/>
                      <w:color w:val="auto"/>
                      <w:sz w:val="21"/>
                      <w:szCs w:val="21"/>
                      <w:lang w:val="en-US" w:eastAsia="zh-CN"/>
                    </w:rPr>
                    <w:t>10</w:t>
                  </w:r>
                </w:p>
              </w:tc>
              <w:tc>
                <w:tcPr>
                  <w:tcW w:w="2417"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2359"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2273"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noWrap w:val="0"/>
                  <w:vAlign w:val="center"/>
                </w:tcPr>
                <w:p>
                  <w:pPr>
                    <w:spacing w:line="240" w:lineRule="auto"/>
                    <w:jc w:val="center"/>
                    <w:rPr>
                      <w:rFonts w:ascii="Times New Roman" w:hAnsi="Times New Roman"/>
                      <w:bCs/>
                      <w:color w:val="auto"/>
                      <w:sz w:val="21"/>
                      <w:szCs w:val="21"/>
                    </w:rPr>
                  </w:pPr>
                  <w:r>
                    <w:rPr>
                      <w:rFonts w:hint="eastAsia"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hint="eastAsia" w:ascii="Times New Roman" w:hAnsi="Times New Roman"/>
                      <w:bCs/>
                      <w:color w:val="auto"/>
                      <w:sz w:val="21"/>
                      <w:szCs w:val="21"/>
                    </w:rPr>
                    <w:t>.9</w:t>
                  </w:r>
                </w:p>
              </w:tc>
              <w:tc>
                <w:tcPr>
                  <w:tcW w:w="2417"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2359"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2273"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noWrap w:val="0"/>
                  <w:vAlign w:val="center"/>
                </w:tcPr>
                <w:p>
                  <w:pPr>
                    <w:spacing w:line="240" w:lineRule="auto"/>
                    <w:jc w:val="center"/>
                    <w:rPr>
                      <w:rFonts w:ascii="Times New Roman" w:hAnsi="Times New Roman"/>
                      <w:bCs/>
                      <w:color w:val="auto"/>
                      <w:sz w:val="21"/>
                      <w:szCs w:val="21"/>
                    </w:rPr>
                  </w:pPr>
                  <w:r>
                    <w:rPr>
                      <w:rFonts w:hint="eastAsia"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hint="eastAsia" w:ascii="Times New Roman" w:hAnsi="Times New Roman"/>
                      <w:bCs/>
                      <w:color w:val="auto"/>
                      <w:sz w:val="21"/>
                      <w:szCs w:val="21"/>
                    </w:rPr>
                    <w:t>.8</w:t>
                  </w:r>
                </w:p>
              </w:tc>
              <w:tc>
                <w:tcPr>
                  <w:tcW w:w="2417"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2359"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2273"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ascii="Times New Roman" w:hAnsi="Times New Roman"/>
                      <w:bCs/>
                      <w:color w:val="auto"/>
                      <w:sz w:val="21"/>
                      <w:szCs w:val="21"/>
                    </w:rPr>
                    <w:t>.7</w:t>
                  </w:r>
                </w:p>
              </w:tc>
              <w:tc>
                <w:tcPr>
                  <w:tcW w:w="2417"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2359"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2273"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94"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ascii="Times New Roman" w:hAnsi="Times New Roman"/>
                      <w:bCs/>
                      <w:color w:val="auto"/>
                      <w:sz w:val="21"/>
                      <w:szCs w:val="21"/>
                    </w:rPr>
                    <w:t>.6</w:t>
                  </w:r>
                </w:p>
              </w:tc>
              <w:tc>
                <w:tcPr>
                  <w:tcW w:w="2417"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2359"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2273"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ascii="Times New Roman" w:hAnsi="Times New Roman"/>
                      <w:bCs/>
                      <w:color w:val="auto"/>
                      <w:sz w:val="21"/>
                      <w:szCs w:val="21"/>
                    </w:rPr>
                    <w:t>.5</w:t>
                  </w:r>
                </w:p>
              </w:tc>
              <w:tc>
                <w:tcPr>
                  <w:tcW w:w="2417"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2359"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2273"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ascii="Times New Roman" w:hAnsi="Times New Roman"/>
                      <w:bCs/>
                      <w:color w:val="auto"/>
                      <w:sz w:val="21"/>
                      <w:szCs w:val="21"/>
                    </w:rPr>
                    <w:t>.4</w:t>
                  </w:r>
                </w:p>
              </w:tc>
              <w:tc>
                <w:tcPr>
                  <w:tcW w:w="2417"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2359"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2273"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ascii="Times New Roman" w:hAnsi="Times New Roman"/>
                      <w:bCs/>
                      <w:color w:val="auto"/>
                      <w:sz w:val="21"/>
                      <w:szCs w:val="21"/>
                    </w:rPr>
                    <w:t>.3</w:t>
                  </w:r>
                </w:p>
              </w:tc>
              <w:tc>
                <w:tcPr>
                  <w:tcW w:w="2417"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2359"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2273"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ascii="Times New Roman" w:hAnsi="Times New Roman"/>
                      <w:bCs/>
                      <w:color w:val="auto"/>
                      <w:sz w:val="21"/>
                      <w:szCs w:val="21"/>
                    </w:rPr>
                    <w:t>.2</w:t>
                  </w:r>
                </w:p>
              </w:tc>
              <w:tc>
                <w:tcPr>
                  <w:tcW w:w="2417"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2359"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2273"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202</w:t>
                  </w:r>
                  <w:r>
                    <w:rPr>
                      <w:rFonts w:hint="eastAsia" w:ascii="Times New Roman" w:hAnsi="Times New Roman"/>
                      <w:bCs/>
                      <w:color w:val="auto"/>
                      <w:sz w:val="21"/>
                      <w:szCs w:val="21"/>
                      <w:lang w:val="en-US" w:eastAsia="zh-CN"/>
                    </w:rPr>
                    <w:t>1</w:t>
                  </w:r>
                  <w:r>
                    <w:rPr>
                      <w:rFonts w:ascii="Times New Roman" w:hAnsi="Times New Roman"/>
                      <w:bCs/>
                      <w:color w:val="auto"/>
                      <w:sz w:val="21"/>
                      <w:szCs w:val="21"/>
                    </w:rPr>
                    <w:t>.1</w:t>
                  </w:r>
                </w:p>
              </w:tc>
              <w:tc>
                <w:tcPr>
                  <w:tcW w:w="2417"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c>
                <w:tcPr>
                  <w:tcW w:w="2359"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Ⅱ</w:t>
                  </w:r>
                </w:p>
              </w:tc>
              <w:tc>
                <w:tcPr>
                  <w:tcW w:w="2273" w:type="dxa"/>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Ⅲ</w:t>
                  </w:r>
                </w:p>
              </w:tc>
            </w:tr>
          </w:tbl>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本项目</w:t>
            </w:r>
            <w:r>
              <w:rPr>
                <w:rFonts w:hint="eastAsia" w:ascii="Times New Roman" w:hAnsi="Times New Roman"/>
                <w:color w:val="auto"/>
                <w:sz w:val="24"/>
                <w:szCs w:val="24"/>
              </w:rPr>
              <w:t>生产废水经自建污水处理站处理后循环回用不外排；</w:t>
            </w:r>
            <w:r>
              <w:rPr>
                <w:rFonts w:ascii="Times New Roman" w:hAnsi="Times New Roman"/>
                <w:color w:val="auto"/>
                <w:sz w:val="24"/>
                <w:szCs w:val="24"/>
              </w:rPr>
              <w:t>冷却水循环使用不外排</w:t>
            </w:r>
            <w:r>
              <w:rPr>
                <w:rFonts w:hint="eastAsia" w:ascii="Times New Roman" w:hAnsi="Times New Roman"/>
                <w:color w:val="auto"/>
                <w:sz w:val="24"/>
                <w:szCs w:val="24"/>
              </w:rPr>
              <w:t>；不新增劳动定员因此无</w:t>
            </w:r>
            <w:r>
              <w:rPr>
                <w:rFonts w:ascii="Times New Roman" w:hAnsi="Times New Roman"/>
                <w:color w:val="auto"/>
                <w:sz w:val="24"/>
                <w:szCs w:val="24"/>
              </w:rPr>
              <w:t>新增生活污水，</w:t>
            </w:r>
            <w:r>
              <w:rPr>
                <w:rFonts w:hint="eastAsia" w:ascii="Times New Roman" w:hAnsi="Times New Roman"/>
                <w:color w:val="auto"/>
                <w:sz w:val="24"/>
                <w:szCs w:val="24"/>
                <w:lang w:eastAsia="zh-CN"/>
              </w:rPr>
              <w:t>原项目</w:t>
            </w:r>
            <w:r>
              <w:rPr>
                <w:rFonts w:ascii="Times New Roman" w:hAnsi="Times New Roman"/>
                <w:color w:val="auto"/>
                <w:sz w:val="24"/>
                <w:szCs w:val="24"/>
              </w:rPr>
              <w:t>生活污水经预处理池处理达到《污水综合排放标准》</w:t>
            </w:r>
            <w:r>
              <w:rPr>
                <w:rFonts w:ascii="Times New Roman" w:hAnsi="Times New Roman"/>
                <w:bCs/>
                <w:color w:val="auto"/>
                <w:sz w:val="24"/>
                <w:szCs w:val="24"/>
              </w:rPr>
              <w:t>（GB8978-1996）中三级排放标准后排入园区污水管网，为间接排放</w:t>
            </w:r>
            <w:r>
              <w:rPr>
                <w:rFonts w:ascii="Times New Roman" w:hAnsi="Times New Roman"/>
                <w:color w:val="auto"/>
                <w:sz w:val="24"/>
                <w:szCs w:val="24"/>
              </w:rPr>
              <w:t>。</w:t>
            </w:r>
          </w:p>
          <w:p>
            <w:pPr>
              <w:spacing w:line="360" w:lineRule="auto"/>
              <w:ind w:firstLine="480" w:firstLineChars="200"/>
              <w:rPr>
                <w:rFonts w:hint="eastAsia" w:eastAsia="宋体"/>
                <w:color w:val="auto"/>
                <w:sz w:val="24"/>
                <w:szCs w:val="24"/>
                <w:lang w:eastAsia="zh-CN"/>
              </w:rPr>
            </w:pPr>
            <w:r>
              <w:rPr>
                <w:rFonts w:ascii="Times New Roman" w:hAnsi="Times New Roman"/>
                <w:color w:val="auto"/>
                <w:sz w:val="24"/>
                <w:szCs w:val="24"/>
              </w:rPr>
              <w:t>综上所述，岷江（</w:t>
            </w:r>
            <w:r>
              <w:rPr>
                <w:rFonts w:hint="eastAsia" w:ascii="Times New Roman" w:hAnsi="Times New Roman"/>
                <w:color w:val="auto"/>
                <w:sz w:val="24"/>
                <w:szCs w:val="24"/>
                <w:lang w:val="en-US" w:eastAsia="zh-CN"/>
              </w:rPr>
              <w:t>乐山</w:t>
            </w:r>
            <w:r>
              <w:rPr>
                <w:rFonts w:ascii="Times New Roman" w:hAnsi="Times New Roman"/>
                <w:color w:val="auto"/>
                <w:sz w:val="24"/>
                <w:szCs w:val="24"/>
              </w:rPr>
              <w:t>段）主要污染物指标均能满足《地表水环境质量标准》（GB3838-2002）中的Ⅲ类水域要求，表明岷江（</w:t>
            </w:r>
            <w:r>
              <w:rPr>
                <w:rFonts w:hint="eastAsia" w:ascii="Times New Roman" w:hAnsi="Times New Roman"/>
                <w:color w:val="auto"/>
                <w:sz w:val="24"/>
                <w:szCs w:val="24"/>
              </w:rPr>
              <w:t>乐山段</w:t>
            </w:r>
            <w:r>
              <w:rPr>
                <w:rFonts w:ascii="Times New Roman" w:hAnsi="Times New Roman"/>
                <w:color w:val="auto"/>
                <w:sz w:val="24"/>
                <w:szCs w:val="24"/>
              </w:rPr>
              <w:t>）水环境质量较好。</w:t>
            </w:r>
          </w:p>
          <w:p>
            <w:pPr>
              <w:spacing w:line="360" w:lineRule="auto"/>
              <w:rPr>
                <w:b/>
                <w:bCs/>
                <w:color w:val="auto"/>
                <w:sz w:val="24"/>
                <w:szCs w:val="24"/>
              </w:rPr>
            </w:pPr>
            <w:r>
              <w:rPr>
                <w:b/>
                <w:bCs/>
                <w:color w:val="auto"/>
                <w:sz w:val="24"/>
                <w:szCs w:val="24"/>
              </w:rPr>
              <w:t>三</w:t>
            </w:r>
            <w:r>
              <w:rPr>
                <w:rFonts w:hint="eastAsia"/>
                <w:b/>
                <w:bCs/>
                <w:color w:val="auto"/>
                <w:sz w:val="24"/>
                <w:szCs w:val="24"/>
                <w:lang w:eastAsia="zh-CN"/>
              </w:rPr>
              <w:t>、</w:t>
            </w:r>
            <w:r>
              <w:rPr>
                <w:b/>
                <w:bCs/>
                <w:color w:val="auto"/>
                <w:sz w:val="24"/>
                <w:szCs w:val="24"/>
              </w:rPr>
              <w:t>声环境质量现状及评价</w:t>
            </w:r>
          </w:p>
          <w:p>
            <w:pPr>
              <w:spacing w:line="360" w:lineRule="auto"/>
              <w:ind w:firstLine="480" w:firstLineChars="200"/>
              <w:rPr>
                <w:color w:val="auto"/>
                <w:sz w:val="24"/>
                <w:szCs w:val="24"/>
              </w:rPr>
            </w:pPr>
            <w:r>
              <w:rPr>
                <w:rFonts w:hint="eastAsia"/>
                <w:color w:val="auto"/>
                <w:sz w:val="24"/>
                <w:szCs w:val="24"/>
              </w:rPr>
              <w:t xml:space="preserve"> 本项目厂界周边50m范围内</w:t>
            </w:r>
            <w:r>
              <w:rPr>
                <w:rFonts w:hint="eastAsia"/>
                <w:color w:val="auto"/>
                <w:sz w:val="24"/>
                <w:szCs w:val="24"/>
                <w:lang w:val="en-US" w:eastAsia="zh-CN"/>
              </w:rPr>
              <w:t>不存在</w:t>
            </w:r>
            <w:r>
              <w:rPr>
                <w:rFonts w:hint="eastAsia"/>
                <w:color w:val="auto"/>
                <w:sz w:val="24"/>
                <w:szCs w:val="24"/>
              </w:rPr>
              <w:t>声环境保护目标，项目场地为已建成厂房。</w:t>
            </w:r>
            <w:r>
              <w:rPr>
                <w:color w:val="auto"/>
                <w:sz w:val="24"/>
                <w:szCs w:val="24"/>
              </w:rPr>
              <w:t>根据四川</w:t>
            </w:r>
            <w:r>
              <w:rPr>
                <w:rFonts w:hint="eastAsia"/>
                <w:color w:val="auto"/>
                <w:sz w:val="24"/>
                <w:szCs w:val="24"/>
                <w:lang w:val="en-US" w:eastAsia="zh-CN"/>
              </w:rPr>
              <w:t>省天衡诚信</w:t>
            </w:r>
            <w:r>
              <w:rPr>
                <w:color w:val="auto"/>
                <w:sz w:val="24"/>
                <w:szCs w:val="24"/>
              </w:rPr>
              <w:t>环境检测</w:t>
            </w:r>
            <w:r>
              <w:rPr>
                <w:rFonts w:hint="eastAsia"/>
                <w:color w:val="auto"/>
                <w:sz w:val="24"/>
                <w:szCs w:val="24"/>
                <w:lang w:val="en-US" w:eastAsia="zh-CN"/>
              </w:rPr>
              <w:t>技术</w:t>
            </w:r>
            <w:r>
              <w:rPr>
                <w:color w:val="auto"/>
                <w:sz w:val="24"/>
                <w:szCs w:val="24"/>
              </w:rPr>
              <w:t>有限公司于2021年</w:t>
            </w:r>
            <w:r>
              <w:rPr>
                <w:rFonts w:hint="eastAsia"/>
                <w:color w:val="auto"/>
                <w:sz w:val="24"/>
                <w:szCs w:val="24"/>
                <w:lang w:val="en-US" w:eastAsia="zh-CN"/>
              </w:rPr>
              <w:t>7</w:t>
            </w:r>
            <w:r>
              <w:rPr>
                <w:color w:val="auto"/>
                <w:sz w:val="24"/>
                <w:szCs w:val="24"/>
              </w:rPr>
              <w:t>月22日~23日对</w:t>
            </w:r>
            <w:r>
              <w:rPr>
                <w:rFonts w:hint="eastAsia"/>
                <w:color w:val="auto"/>
                <w:sz w:val="24"/>
                <w:szCs w:val="24"/>
              </w:rPr>
              <w:t>乐山图南再生资源回收利用有限公司</w:t>
            </w:r>
            <w:r>
              <w:rPr>
                <w:rFonts w:hint="eastAsia"/>
                <w:color w:val="auto"/>
                <w:sz w:val="24"/>
                <w:szCs w:val="24"/>
                <w:lang w:eastAsia="zh-CN"/>
              </w:rPr>
              <w:t>《</w:t>
            </w:r>
            <w:r>
              <w:rPr>
                <w:rFonts w:hint="eastAsia" w:ascii="Times New Roman" w:hAnsi="Times New Roman"/>
                <w:color w:val="auto"/>
                <w:sz w:val="24"/>
                <w:szCs w:val="24"/>
              </w:rPr>
              <w:t>废旧塑料加工生产线技改项目</w:t>
            </w:r>
            <w:r>
              <w:rPr>
                <w:rFonts w:hint="eastAsia"/>
                <w:color w:val="auto"/>
                <w:sz w:val="24"/>
                <w:szCs w:val="24"/>
                <w:lang w:eastAsia="zh-CN"/>
              </w:rPr>
              <w:t>》</w:t>
            </w:r>
            <w:r>
              <w:rPr>
                <w:rFonts w:hint="eastAsia"/>
                <w:color w:val="auto"/>
                <w:sz w:val="24"/>
                <w:szCs w:val="24"/>
                <w:lang w:val="en-US" w:eastAsia="zh-CN"/>
              </w:rPr>
              <w:t>厂界噪声</w:t>
            </w:r>
            <w:r>
              <w:rPr>
                <w:color w:val="auto"/>
                <w:sz w:val="24"/>
                <w:szCs w:val="24"/>
              </w:rPr>
              <w:t>进行</w:t>
            </w:r>
            <w:r>
              <w:rPr>
                <w:rFonts w:hint="eastAsia"/>
                <w:color w:val="auto"/>
                <w:sz w:val="24"/>
                <w:szCs w:val="24"/>
                <w:lang w:val="en-US" w:eastAsia="zh-CN"/>
              </w:rPr>
              <w:t>了竣工环保验收</w:t>
            </w:r>
            <w:r>
              <w:rPr>
                <w:color w:val="auto"/>
                <w:sz w:val="24"/>
                <w:szCs w:val="24"/>
              </w:rPr>
              <w:t>监测</w:t>
            </w:r>
            <w:r>
              <w:rPr>
                <w:rFonts w:hint="eastAsia"/>
                <w:color w:val="auto"/>
                <w:sz w:val="24"/>
                <w:szCs w:val="24"/>
                <w:lang w:eastAsia="zh-CN"/>
              </w:rPr>
              <w:t>，</w:t>
            </w:r>
            <w:r>
              <w:rPr>
                <w:color w:val="auto"/>
                <w:sz w:val="24"/>
                <w:szCs w:val="24"/>
              </w:rPr>
              <w:t>其监测结果统计表见表3-</w:t>
            </w:r>
            <w:r>
              <w:rPr>
                <w:rFonts w:hint="eastAsia"/>
                <w:color w:val="auto"/>
                <w:sz w:val="24"/>
                <w:szCs w:val="24"/>
                <w:lang w:val="en-US" w:eastAsia="zh-CN"/>
              </w:rPr>
              <w:t>7</w:t>
            </w:r>
            <w:r>
              <w:rPr>
                <w:color w:val="auto"/>
                <w:sz w:val="24"/>
                <w:szCs w:val="24"/>
              </w:rPr>
              <w:t>。</w:t>
            </w:r>
          </w:p>
          <w:p>
            <w:pPr>
              <w:jc w:val="center"/>
              <w:rPr>
                <w:color w:val="auto"/>
                <w:szCs w:val="21"/>
              </w:rPr>
            </w:pPr>
            <w:r>
              <w:rPr>
                <w:b/>
                <w:color w:val="auto"/>
                <w:szCs w:val="21"/>
              </w:rPr>
              <w:t xml:space="preserve">表3-7 环境噪声监测结果统计表       </w:t>
            </w:r>
            <w:r>
              <w:rPr>
                <w:color w:val="auto"/>
                <w:szCs w:val="21"/>
              </w:rPr>
              <w:t>单位：dB(A)</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094"/>
              <w:gridCol w:w="822"/>
              <w:gridCol w:w="924"/>
              <w:gridCol w:w="885"/>
              <w:gridCol w:w="990"/>
              <w:gridCol w:w="1125"/>
              <w:gridCol w:w="1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541" w:type="dxa"/>
                  <w:gridSpan w:val="2"/>
                  <w:shd w:val="clear" w:color="auto" w:fill="DCE6F2" w:themeFill="accent1" w:themeFillTint="32"/>
                  <w:noWrap w:val="0"/>
                  <w:vAlign w:val="center"/>
                </w:tcPr>
                <w:p>
                  <w:pPr>
                    <w:jc w:val="center"/>
                    <w:rPr>
                      <w:b/>
                      <w:bCs w:val="0"/>
                      <w:color w:val="auto"/>
                      <w:sz w:val="21"/>
                      <w:szCs w:val="21"/>
                    </w:rPr>
                  </w:pPr>
                  <w:r>
                    <w:rPr>
                      <w:b/>
                      <w:bCs w:val="0"/>
                      <w:color w:val="auto"/>
                      <w:sz w:val="21"/>
                      <w:szCs w:val="21"/>
                    </w:rPr>
                    <w:t>监测点位</w:t>
                  </w:r>
                </w:p>
              </w:tc>
              <w:tc>
                <w:tcPr>
                  <w:tcW w:w="1746" w:type="dxa"/>
                  <w:gridSpan w:val="2"/>
                  <w:shd w:val="clear" w:color="auto" w:fill="DCE6F2" w:themeFill="accent1" w:themeFillTint="32"/>
                  <w:noWrap w:val="0"/>
                  <w:vAlign w:val="center"/>
                </w:tcPr>
                <w:p>
                  <w:pPr>
                    <w:jc w:val="center"/>
                    <w:rPr>
                      <w:b/>
                      <w:bCs w:val="0"/>
                      <w:color w:val="auto"/>
                      <w:sz w:val="21"/>
                      <w:szCs w:val="21"/>
                    </w:rPr>
                  </w:pPr>
                  <w:r>
                    <w:rPr>
                      <w:b/>
                      <w:bCs w:val="0"/>
                      <w:color w:val="auto"/>
                      <w:sz w:val="21"/>
                      <w:szCs w:val="21"/>
                    </w:rPr>
                    <w:t>0</w:t>
                  </w:r>
                  <w:r>
                    <w:rPr>
                      <w:rFonts w:hint="eastAsia"/>
                      <w:b/>
                      <w:bCs w:val="0"/>
                      <w:color w:val="auto"/>
                      <w:sz w:val="21"/>
                      <w:szCs w:val="21"/>
                      <w:lang w:val="en-US" w:eastAsia="zh-CN"/>
                    </w:rPr>
                    <w:t>7</w:t>
                  </w:r>
                  <w:r>
                    <w:rPr>
                      <w:b/>
                      <w:bCs w:val="0"/>
                      <w:color w:val="auto"/>
                      <w:sz w:val="21"/>
                      <w:szCs w:val="21"/>
                    </w:rPr>
                    <w:t>月22日</w:t>
                  </w:r>
                </w:p>
              </w:tc>
              <w:tc>
                <w:tcPr>
                  <w:tcW w:w="1875" w:type="dxa"/>
                  <w:gridSpan w:val="2"/>
                  <w:shd w:val="clear" w:color="auto" w:fill="DCE6F2" w:themeFill="accent1" w:themeFillTint="32"/>
                  <w:noWrap w:val="0"/>
                  <w:vAlign w:val="center"/>
                </w:tcPr>
                <w:p>
                  <w:pPr>
                    <w:jc w:val="center"/>
                    <w:rPr>
                      <w:b/>
                      <w:bCs w:val="0"/>
                      <w:color w:val="auto"/>
                      <w:sz w:val="21"/>
                      <w:szCs w:val="21"/>
                    </w:rPr>
                  </w:pPr>
                  <w:r>
                    <w:rPr>
                      <w:b/>
                      <w:bCs w:val="0"/>
                      <w:color w:val="auto"/>
                      <w:sz w:val="21"/>
                      <w:szCs w:val="21"/>
                    </w:rPr>
                    <w:t>0</w:t>
                  </w:r>
                  <w:r>
                    <w:rPr>
                      <w:rFonts w:hint="eastAsia"/>
                      <w:b/>
                      <w:bCs w:val="0"/>
                      <w:color w:val="auto"/>
                      <w:sz w:val="21"/>
                      <w:szCs w:val="21"/>
                      <w:lang w:val="en-US" w:eastAsia="zh-CN"/>
                    </w:rPr>
                    <w:t>7</w:t>
                  </w:r>
                  <w:r>
                    <w:rPr>
                      <w:b/>
                      <w:bCs w:val="0"/>
                      <w:color w:val="auto"/>
                      <w:sz w:val="21"/>
                      <w:szCs w:val="21"/>
                    </w:rPr>
                    <w:t>月23日</w:t>
                  </w:r>
                </w:p>
              </w:tc>
              <w:tc>
                <w:tcPr>
                  <w:tcW w:w="1125" w:type="dxa"/>
                  <w:vMerge w:val="restart"/>
                  <w:shd w:val="clear" w:color="auto" w:fill="DCE6F2" w:themeFill="accent1" w:themeFillTint="32"/>
                  <w:noWrap w:val="0"/>
                  <w:vAlign w:val="center"/>
                </w:tcPr>
                <w:p>
                  <w:pPr>
                    <w:jc w:val="center"/>
                    <w:rPr>
                      <w:b/>
                      <w:bCs w:val="0"/>
                      <w:color w:val="auto"/>
                      <w:sz w:val="21"/>
                      <w:szCs w:val="21"/>
                    </w:rPr>
                  </w:pPr>
                  <w:r>
                    <w:rPr>
                      <w:b/>
                      <w:bCs w:val="0"/>
                      <w:color w:val="auto"/>
                      <w:sz w:val="21"/>
                      <w:szCs w:val="21"/>
                    </w:rPr>
                    <w:t>评价标准</w:t>
                  </w:r>
                </w:p>
              </w:tc>
              <w:tc>
                <w:tcPr>
                  <w:tcW w:w="1096" w:type="dxa"/>
                  <w:vMerge w:val="restart"/>
                  <w:shd w:val="clear" w:color="auto" w:fill="DCE6F2" w:themeFill="accent1" w:themeFillTint="32"/>
                  <w:noWrap w:val="0"/>
                  <w:vAlign w:val="center"/>
                </w:tcPr>
                <w:p>
                  <w:pPr>
                    <w:jc w:val="center"/>
                    <w:rPr>
                      <w:b/>
                      <w:bCs w:val="0"/>
                      <w:color w:val="auto"/>
                      <w:sz w:val="21"/>
                      <w:szCs w:val="21"/>
                    </w:rPr>
                  </w:pPr>
                  <w:r>
                    <w:rPr>
                      <w:b/>
                      <w:bCs w:val="0"/>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shd w:val="clear" w:color="auto" w:fill="DCE6F2" w:themeFill="accent1" w:themeFillTint="32"/>
                  <w:noWrap w:val="0"/>
                  <w:vAlign w:val="center"/>
                </w:tcPr>
                <w:p>
                  <w:pPr>
                    <w:widowControl/>
                    <w:jc w:val="center"/>
                    <w:rPr>
                      <w:b/>
                      <w:bCs/>
                      <w:color w:val="auto"/>
                      <w:sz w:val="21"/>
                      <w:szCs w:val="21"/>
                    </w:rPr>
                  </w:pPr>
                  <w:r>
                    <w:rPr>
                      <w:b/>
                      <w:bCs/>
                      <w:color w:val="auto"/>
                      <w:kern w:val="0"/>
                      <w:sz w:val="21"/>
                      <w:szCs w:val="21"/>
                    </w:rPr>
                    <w:t>预测点位</w:t>
                  </w:r>
                </w:p>
              </w:tc>
              <w:tc>
                <w:tcPr>
                  <w:tcW w:w="1094" w:type="dxa"/>
                  <w:shd w:val="clear" w:color="auto" w:fill="DCE6F2" w:themeFill="accent1" w:themeFillTint="32"/>
                  <w:noWrap w:val="0"/>
                  <w:vAlign w:val="center"/>
                </w:tcPr>
                <w:p>
                  <w:pPr>
                    <w:widowControl/>
                    <w:jc w:val="center"/>
                    <w:rPr>
                      <w:b/>
                      <w:bCs/>
                      <w:color w:val="auto"/>
                      <w:sz w:val="21"/>
                      <w:szCs w:val="21"/>
                    </w:rPr>
                  </w:pPr>
                  <w:r>
                    <w:rPr>
                      <w:b/>
                      <w:bCs/>
                      <w:color w:val="auto"/>
                      <w:kern w:val="0"/>
                      <w:sz w:val="21"/>
                      <w:szCs w:val="21"/>
                    </w:rPr>
                    <w:t>预测时段</w:t>
                  </w:r>
                </w:p>
              </w:tc>
              <w:tc>
                <w:tcPr>
                  <w:tcW w:w="822" w:type="dxa"/>
                  <w:shd w:val="clear" w:color="auto" w:fill="DCE6F2" w:themeFill="accent1" w:themeFillTint="32"/>
                  <w:noWrap w:val="0"/>
                  <w:vAlign w:val="center"/>
                </w:tcPr>
                <w:p>
                  <w:pPr>
                    <w:jc w:val="center"/>
                    <w:rPr>
                      <w:rFonts w:hint="eastAsia" w:eastAsia="宋体"/>
                      <w:b/>
                      <w:bCs/>
                      <w:color w:val="auto"/>
                      <w:sz w:val="21"/>
                      <w:szCs w:val="21"/>
                      <w:lang w:val="en-US" w:eastAsia="zh-CN"/>
                    </w:rPr>
                  </w:pPr>
                  <w:r>
                    <w:rPr>
                      <w:rFonts w:hint="eastAsia"/>
                      <w:b/>
                      <w:bCs/>
                      <w:color w:val="auto"/>
                      <w:sz w:val="21"/>
                      <w:szCs w:val="21"/>
                      <w:lang w:val="en-US" w:eastAsia="zh-CN"/>
                    </w:rPr>
                    <w:t>第1次</w:t>
                  </w:r>
                </w:p>
              </w:tc>
              <w:tc>
                <w:tcPr>
                  <w:tcW w:w="924" w:type="dxa"/>
                  <w:shd w:val="clear" w:color="auto" w:fill="DCE6F2" w:themeFill="accent1" w:themeFillTint="32"/>
                  <w:noWrap w:val="0"/>
                  <w:vAlign w:val="center"/>
                </w:tcPr>
                <w:p>
                  <w:pPr>
                    <w:jc w:val="center"/>
                    <w:rPr>
                      <w:rFonts w:hint="eastAsia" w:eastAsia="宋体"/>
                      <w:b/>
                      <w:bCs/>
                      <w:color w:val="auto"/>
                      <w:sz w:val="21"/>
                      <w:szCs w:val="21"/>
                      <w:lang w:val="en-US" w:eastAsia="zh-CN"/>
                    </w:rPr>
                  </w:pPr>
                  <w:r>
                    <w:rPr>
                      <w:rFonts w:hint="eastAsia"/>
                      <w:b/>
                      <w:bCs/>
                      <w:color w:val="auto"/>
                      <w:sz w:val="21"/>
                      <w:szCs w:val="21"/>
                      <w:lang w:val="en-US" w:eastAsia="zh-CN"/>
                    </w:rPr>
                    <w:t>第2次</w:t>
                  </w:r>
                </w:p>
              </w:tc>
              <w:tc>
                <w:tcPr>
                  <w:tcW w:w="885" w:type="dxa"/>
                  <w:shd w:val="clear" w:color="auto" w:fill="DCE6F2" w:themeFill="accent1" w:themeFillTint="32"/>
                  <w:noWrap w:val="0"/>
                  <w:vAlign w:val="center"/>
                </w:tcPr>
                <w:p>
                  <w:pPr>
                    <w:jc w:val="center"/>
                    <w:rPr>
                      <w:b/>
                      <w:bCs/>
                      <w:color w:val="auto"/>
                      <w:sz w:val="21"/>
                      <w:szCs w:val="21"/>
                    </w:rPr>
                  </w:pPr>
                  <w:r>
                    <w:rPr>
                      <w:rFonts w:hint="eastAsia"/>
                      <w:b/>
                      <w:bCs/>
                      <w:color w:val="auto"/>
                      <w:sz w:val="21"/>
                      <w:szCs w:val="21"/>
                      <w:lang w:val="en-US" w:eastAsia="zh-CN"/>
                    </w:rPr>
                    <w:t>第1次</w:t>
                  </w:r>
                </w:p>
              </w:tc>
              <w:tc>
                <w:tcPr>
                  <w:tcW w:w="990" w:type="dxa"/>
                  <w:shd w:val="clear" w:color="auto" w:fill="DCE6F2" w:themeFill="accent1" w:themeFillTint="32"/>
                  <w:noWrap w:val="0"/>
                  <w:vAlign w:val="center"/>
                </w:tcPr>
                <w:p>
                  <w:pPr>
                    <w:jc w:val="center"/>
                    <w:rPr>
                      <w:b/>
                      <w:bCs/>
                      <w:color w:val="auto"/>
                      <w:sz w:val="21"/>
                      <w:szCs w:val="21"/>
                    </w:rPr>
                  </w:pPr>
                  <w:r>
                    <w:rPr>
                      <w:rFonts w:hint="eastAsia"/>
                      <w:b/>
                      <w:bCs/>
                      <w:color w:val="auto"/>
                      <w:sz w:val="21"/>
                      <w:szCs w:val="21"/>
                      <w:lang w:val="en-US" w:eastAsia="zh-CN"/>
                    </w:rPr>
                    <w:t>第2次</w:t>
                  </w:r>
                </w:p>
              </w:tc>
              <w:tc>
                <w:tcPr>
                  <w:tcW w:w="1125" w:type="dxa"/>
                  <w:vMerge w:val="continue"/>
                  <w:noWrap w:val="0"/>
                  <w:vAlign w:val="center"/>
                </w:tcPr>
                <w:p>
                  <w:pPr>
                    <w:jc w:val="center"/>
                    <w:rPr>
                      <w:color w:val="auto"/>
                      <w:sz w:val="21"/>
                      <w:szCs w:val="21"/>
                    </w:rPr>
                  </w:pPr>
                </w:p>
              </w:tc>
              <w:tc>
                <w:tcPr>
                  <w:tcW w:w="1096" w:type="dxa"/>
                  <w:vMerge w:val="continue"/>
                  <w:noWrap w:val="0"/>
                  <w:vAlign w:val="center"/>
                </w:tcPr>
                <w:p>
                  <w:pPr>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restart"/>
                  <w:noWrap w:val="0"/>
                  <w:vAlign w:val="center"/>
                </w:tcPr>
                <w:p>
                  <w:pPr>
                    <w:jc w:val="center"/>
                    <w:rPr>
                      <w:rFonts w:hint="eastAsia" w:eastAsia="宋体"/>
                      <w:color w:val="auto"/>
                      <w:sz w:val="21"/>
                      <w:szCs w:val="21"/>
                      <w:lang w:eastAsia="zh-CN"/>
                    </w:rPr>
                  </w:pPr>
                  <w:r>
                    <w:rPr>
                      <w:color w:val="auto"/>
                      <w:sz w:val="21"/>
                      <w:szCs w:val="21"/>
                    </w:rPr>
                    <w:t>1#</w:t>
                  </w:r>
                  <w:r>
                    <w:rPr>
                      <w:rFonts w:hint="eastAsia"/>
                      <w:color w:val="auto"/>
                      <w:sz w:val="21"/>
                      <w:szCs w:val="21"/>
                      <w:lang w:val="en-US" w:eastAsia="zh-CN"/>
                    </w:rPr>
                    <w:t>厂</w:t>
                  </w:r>
                  <w:r>
                    <w:rPr>
                      <w:color w:val="auto"/>
                      <w:sz w:val="21"/>
                      <w:szCs w:val="21"/>
                    </w:rPr>
                    <w:t>界</w:t>
                  </w:r>
                  <w:r>
                    <w:rPr>
                      <w:rFonts w:hint="eastAsia"/>
                      <w:color w:val="auto"/>
                      <w:sz w:val="21"/>
                      <w:szCs w:val="21"/>
                      <w:lang w:val="en-US" w:eastAsia="zh-CN"/>
                    </w:rPr>
                    <w:t>北</w:t>
                  </w:r>
                  <w:r>
                    <w:rPr>
                      <w:color w:val="auto"/>
                      <w:sz w:val="21"/>
                      <w:szCs w:val="21"/>
                    </w:rPr>
                    <w:t>侧外1m</w:t>
                  </w:r>
                  <w:r>
                    <w:rPr>
                      <w:rFonts w:hint="eastAsia"/>
                      <w:color w:val="auto"/>
                      <w:sz w:val="21"/>
                      <w:szCs w:val="21"/>
                      <w:lang w:val="en-US" w:eastAsia="zh-CN"/>
                    </w:rPr>
                    <w:t>处</w:t>
                  </w:r>
                </w:p>
              </w:tc>
              <w:tc>
                <w:tcPr>
                  <w:tcW w:w="1094" w:type="dxa"/>
                  <w:noWrap w:val="0"/>
                  <w:vAlign w:val="center"/>
                </w:tcPr>
                <w:p>
                  <w:pPr>
                    <w:jc w:val="center"/>
                    <w:rPr>
                      <w:color w:val="auto"/>
                      <w:sz w:val="21"/>
                      <w:szCs w:val="21"/>
                    </w:rPr>
                  </w:pPr>
                  <w:r>
                    <w:rPr>
                      <w:color w:val="auto"/>
                      <w:sz w:val="21"/>
                      <w:szCs w:val="21"/>
                    </w:rPr>
                    <w:t>昼间</w:t>
                  </w:r>
                </w:p>
              </w:tc>
              <w:tc>
                <w:tcPr>
                  <w:tcW w:w="822"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59</w:t>
                  </w:r>
                </w:p>
              </w:tc>
              <w:tc>
                <w:tcPr>
                  <w:tcW w:w="924"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57</w:t>
                  </w:r>
                </w:p>
              </w:tc>
              <w:tc>
                <w:tcPr>
                  <w:tcW w:w="885"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59</w:t>
                  </w:r>
                </w:p>
              </w:tc>
              <w:tc>
                <w:tcPr>
                  <w:tcW w:w="990"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55</w:t>
                  </w:r>
                </w:p>
              </w:tc>
              <w:tc>
                <w:tcPr>
                  <w:tcW w:w="1125"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65</w:t>
                  </w:r>
                </w:p>
              </w:tc>
              <w:tc>
                <w:tcPr>
                  <w:tcW w:w="1096" w:type="dxa"/>
                  <w:noWrap w:val="0"/>
                  <w:vAlign w:val="center"/>
                </w:tcPr>
                <w:p>
                  <w:pPr>
                    <w:jc w:val="center"/>
                    <w:rPr>
                      <w:color w:val="auto"/>
                      <w:sz w:val="21"/>
                      <w:szCs w:val="21"/>
                    </w:rPr>
                  </w:pPr>
                  <w:r>
                    <w:rPr>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7" w:type="dxa"/>
                  <w:vMerge w:val="continue"/>
                  <w:noWrap w:val="0"/>
                  <w:vAlign w:val="center"/>
                </w:tcPr>
                <w:p>
                  <w:pPr>
                    <w:jc w:val="center"/>
                    <w:rPr>
                      <w:color w:val="auto"/>
                      <w:sz w:val="21"/>
                      <w:szCs w:val="21"/>
                    </w:rPr>
                  </w:pPr>
                </w:p>
              </w:tc>
              <w:tc>
                <w:tcPr>
                  <w:tcW w:w="1094" w:type="dxa"/>
                  <w:noWrap w:val="0"/>
                  <w:vAlign w:val="center"/>
                </w:tcPr>
                <w:p>
                  <w:pPr>
                    <w:jc w:val="center"/>
                    <w:rPr>
                      <w:color w:val="auto"/>
                      <w:sz w:val="21"/>
                      <w:szCs w:val="21"/>
                    </w:rPr>
                  </w:pPr>
                  <w:r>
                    <w:rPr>
                      <w:color w:val="auto"/>
                      <w:sz w:val="21"/>
                      <w:szCs w:val="21"/>
                    </w:rPr>
                    <w:t>夜间</w:t>
                  </w:r>
                </w:p>
              </w:tc>
              <w:tc>
                <w:tcPr>
                  <w:tcW w:w="822"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48</w:t>
                  </w:r>
                </w:p>
              </w:tc>
              <w:tc>
                <w:tcPr>
                  <w:tcW w:w="924"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47</w:t>
                  </w:r>
                </w:p>
              </w:tc>
              <w:tc>
                <w:tcPr>
                  <w:tcW w:w="885"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51</w:t>
                  </w:r>
                </w:p>
              </w:tc>
              <w:tc>
                <w:tcPr>
                  <w:tcW w:w="990"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50</w:t>
                  </w:r>
                </w:p>
              </w:tc>
              <w:tc>
                <w:tcPr>
                  <w:tcW w:w="1125" w:type="dxa"/>
                  <w:noWrap w:val="0"/>
                  <w:vAlign w:val="center"/>
                </w:tcPr>
                <w:p>
                  <w:pPr>
                    <w:jc w:val="center"/>
                    <w:rPr>
                      <w:color w:val="auto"/>
                      <w:sz w:val="21"/>
                      <w:szCs w:val="21"/>
                    </w:rPr>
                  </w:pPr>
                  <w:r>
                    <w:rPr>
                      <w:color w:val="auto"/>
                      <w:sz w:val="21"/>
                      <w:szCs w:val="21"/>
                    </w:rPr>
                    <w:t>55</w:t>
                  </w:r>
                </w:p>
              </w:tc>
              <w:tc>
                <w:tcPr>
                  <w:tcW w:w="1096" w:type="dxa"/>
                  <w:noWrap w:val="0"/>
                  <w:vAlign w:val="center"/>
                </w:tcPr>
                <w:p>
                  <w:pPr>
                    <w:jc w:val="center"/>
                    <w:rPr>
                      <w:color w:val="auto"/>
                      <w:sz w:val="21"/>
                      <w:szCs w:val="21"/>
                    </w:rPr>
                  </w:pPr>
                  <w:r>
                    <w:rPr>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47" w:type="dxa"/>
                  <w:vMerge w:val="restart"/>
                  <w:noWrap w:val="0"/>
                  <w:vAlign w:val="center"/>
                </w:tcPr>
                <w:p>
                  <w:pPr>
                    <w:jc w:val="center"/>
                    <w:rPr>
                      <w:color w:val="auto"/>
                      <w:sz w:val="21"/>
                      <w:szCs w:val="21"/>
                    </w:rPr>
                  </w:pPr>
                  <w:r>
                    <w:rPr>
                      <w:color w:val="auto"/>
                      <w:sz w:val="21"/>
                      <w:szCs w:val="21"/>
                    </w:rPr>
                    <w:t>2#</w:t>
                  </w:r>
                  <w:r>
                    <w:rPr>
                      <w:rFonts w:hint="eastAsia"/>
                      <w:color w:val="auto"/>
                      <w:sz w:val="21"/>
                      <w:szCs w:val="21"/>
                      <w:lang w:val="en-US" w:eastAsia="zh-CN"/>
                    </w:rPr>
                    <w:t>厂</w:t>
                  </w:r>
                  <w:r>
                    <w:rPr>
                      <w:color w:val="auto"/>
                      <w:sz w:val="21"/>
                      <w:szCs w:val="21"/>
                    </w:rPr>
                    <w:t>界</w:t>
                  </w:r>
                  <w:r>
                    <w:rPr>
                      <w:rFonts w:hint="eastAsia"/>
                      <w:color w:val="auto"/>
                      <w:sz w:val="21"/>
                      <w:szCs w:val="21"/>
                      <w:lang w:val="en-US" w:eastAsia="zh-CN"/>
                    </w:rPr>
                    <w:t>东北</w:t>
                  </w:r>
                  <w:r>
                    <w:rPr>
                      <w:color w:val="auto"/>
                      <w:sz w:val="21"/>
                      <w:szCs w:val="21"/>
                    </w:rPr>
                    <w:t>侧外1m</w:t>
                  </w:r>
                  <w:r>
                    <w:rPr>
                      <w:rFonts w:hint="eastAsia"/>
                      <w:color w:val="auto"/>
                      <w:sz w:val="21"/>
                      <w:szCs w:val="21"/>
                      <w:lang w:val="en-US" w:eastAsia="zh-CN"/>
                    </w:rPr>
                    <w:t>处</w:t>
                  </w:r>
                </w:p>
              </w:tc>
              <w:tc>
                <w:tcPr>
                  <w:tcW w:w="1094" w:type="dxa"/>
                  <w:noWrap w:val="0"/>
                  <w:vAlign w:val="center"/>
                </w:tcPr>
                <w:p>
                  <w:pPr>
                    <w:jc w:val="center"/>
                    <w:rPr>
                      <w:color w:val="auto"/>
                      <w:sz w:val="21"/>
                      <w:szCs w:val="21"/>
                    </w:rPr>
                  </w:pPr>
                  <w:r>
                    <w:rPr>
                      <w:color w:val="auto"/>
                      <w:sz w:val="21"/>
                      <w:szCs w:val="21"/>
                    </w:rPr>
                    <w:t>昼间</w:t>
                  </w:r>
                </w:p>
              </w:tc>
              <w:tc>
                <w:tcPr>
                  <w:tcW w:w="822"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63</w:t>
                  </w:r>
                </w:p>
              </w:tc>
              <w:tc>
                <w:tcPr>
                  <w:tcW w:w="924"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63</w:t>
                  </w:r>
                </w:p>
              </w:tc>
              <w:tc>
                <w:tcPr>
                  <w:tcW w:w="885"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64</w:t>
                  </w:r>
                </w:p>
              </w:tc>
              <w:tc>
                <w:tcPr>
                  <w:tcW w:w="990"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61</w:t>
                  </w:r>
                </w:p>
              </w:tc>
              <w:tc>
                <w:tcPr>
                  <w:tcW w:w="1125" w:type="dxa"/>
                  <w:noWrap w:val="0"/>
                  <w:vAlign w:val="center"/>
                </w:tcPr>
                <w:p>
                  <w:pPr>
                    <w:jc w:val="center"/>
                    <w:rPr>
                      <w:color w:val="auto"/>
                      <w:sz w:val="21"/>
                      <w:szCs w:val="21"/>
                    </w:rPr>
                  </w:pPr>
                  <w:r>
                    <w:rPr>
                      <w:color w:val="auto"/>
                      <w:sz w:val="21"/>
                      <w:szCs w:val="21"/>
                    </w:rPr>
                    <w:t>65</w:t>
                  </w:r>
                </w:p>
              </w:tc>
              <w:tc>
                <w:tcPr>
                  <w:tcW w:w="1096" w:type="dxa"/>
                  <w:noWrap w:val="0"/>
                  <w:vAlign w:val="center"/>
                </w:tcPr>
                <w:p>
                  <w:pPr>
                    <w:jc w:val="center"/>
                    <w:rPr>
                      <w:color w:val="auto"/>
                      <w:sz w:val="21"/>
                      <w:szCs w:val="21"/>
                    </w:rPr>
                  </w:pPr>
                  <w:r>
                    <w:rPr>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jc w:val="center"/>
                    <w:rPr>
                      <w:color w:val="auto"/>
                      <w:sz w:val="21"/>
                      <w:szCs w:val="21"/>
                    </w:rPr>
                  </w:pPr>
                </w:p>
              </w:tc>
              <w:tc>
                <w:tcPr>
                  <w:tcW w:w="1094" w:type="dxa"/>
                  <w:noWrap w:val="0"/>
                  <w:vAlign w:val="center"/>
                </w:tcPr>
                <w:p>
                  <w:pPr>
                    <w:jc w:val="center"/>
                    <w:rPr>
                      <w:color w:val="auto"/>
                      <w:sz w:val="21"/>
                      <w:szCs w:val="21"/>
                    </w:rPr>
                  </w:pPr>
                  <w:r>
                    <w:rPr>
                      <w:color w:val="auto"/>
                      <w:sz w:val="21"/>
                      <w:szCs w:val="21"/>
                    </w:rPr>
                    <w:t>夜间</w:t>
                  </w:r>
                </w:p>
              </w:tc>
              <w:tc>
                <w:tcPr>
                  <w:tcW w:w="822"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53</w:t>
                  </w:r>
                </w:p>
              </w:tc>
              <w:tc>
                <w:tcPr>
                  <w:tcW w:w="924"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53</w:t>
                  </w:r>
                </w:p>
              </w:tc>
              <w:tc>
                <w:tcPr>
                  <w:tcW w:w="885"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54</w:t>
                  </w:r>
                </w:p>
              </w:tc>
              <w:tc>
                <w:tcPr>
                  <w:tcW w:w="990"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54</w:t>
                  </w:r>
                </w:p>
              </w:tc>
              <w:tc>
                <w:tcPr>
                  <w:tcW w:w="1125" w:type="dxa"/>
                  <w:noWrap w:val="0"/>
                  <w:vAlign w:val="center"/>
                </w:tcPr>
                <w:p>
                  <w:pPr>
                    <w:jc w:val="center"/>
                    <w:rPr>
                      <w:color w:val="auto"/>
                      <w:sz w:val="21"/>
                      <w:szCs w:val="21"/>
                    </w:rPr>
                  </w:pPr>
                  <w:r>
                    <w:rPr>
                      <w:color w:val="auto"/>
                      <w:sz w:val="21"/>
                      <w:szCs w:val="21"/>
                    </w:rPr>
                    <w:t>55</w:t>
                  </w:r>
                </w:p>
              </w:tc>
              <w:tc>
                <w:tcPr>
                  <w:tcW w:w="1096" w:type="dxa"/>
                  <w:noWrap w:val="0"/>
                  <w:vAlign w:val="center"/>
                </w:tcPr>
                <w:p>
                  <w:pPr>
                    <w:jc w:val="center"/>
                    <w:rPr>
                      <w:color w:val="auto"/>
                      <w:sz w:val="21"/>
                      <w:szCs w:val="21"/>
                    </w:rPr>
                  </w:pPr>
                  <w:r>
                    <w:rPr>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47" w:type="dxa"/>
                  <w:vMerge w:val="restart"/>
                  <w:noWrap w:val="0"/>
                  <w:vAlign w:val="center"/>
                </w:tcPr>
                <w:p>
                  <w:pPr>
                    <w:jc w:val="center"/>
                    <w:rPr>
                      <w:color w:val="auto"/>
                      <w:sz w:val="21"/>
                      <w:szCs w:val="21"/>
                    </w:rPr>
                  </w:pPr>
                  <w:r>
                    <w:rPr>
                      <w:color w:val="auto"/>
                      <w:sz w:val="21"/>
                      <w:szCs w:val="21"/>
                    </w:rPr>
                    <w:t>3#</w:t>
                  </w:r>
                  <w:r>
                    <w:rPr>
                      <w:rFonts w:hint="eastAsia"/>
                      <w:color w:val="auto"/>
                      <w:sz w:val="21"/>
                      <w:szCs w:val="21"/>
                      <w:lang w:val="en-US" w:eastAsia="zh-CN"/>
                    </w:rPr>
                    <w:t>厂</w:t>
                  </w:r>
                  <w:r>
                    <w:rPr>
                      <w:color w:val="auto"/>
                      <w:sz w:val="21"/>
                      <w:szCs w:val="21"/>
                    </w:rPr>
                    <w:t>界</w:t>
                  </w:r>
                  <w:r>
                    <w:rPr>
                      <w:rFonts w:hint="eastAsia"/>
                      <w:color w:val="auto"/>
                      <w:sz w:val="21"/>
                      <w:szCs w:val="21"/>
                      <w:lang w:val="en-US" w:eastAsia="zh-CN"/>
                    </w:rPr>
                    <w:t>东</w:t>
                  </w:r>
                  <w:r>
                    <w:rPr>
                      <w:color w:val="auto"/>
                      <w:sz w:val="21"/>
                      <w:szCs w:val="21"/>
                    </w:rPr>
                    <w:t>侧外1m</w:t>
                  </w:r>
                  <w:r>
                    <w:rPr>
                      <w:rFonts w:hint="eastAsia"/>
                      <w:color w:val="auto"/>
                      <w:sz w:val="21"/>
                      <w:szCs w:val="21"/>
                      <w:lang w:val="en-US" w:eastAsia="zh-CN"/>
                    </w:rPr>
                    <w:t>处</w:t>
                  </w:r>
                </w:p>
              </w:tc>
              <w:tc>
                <w:tcPr>
                  <w:tcW w:w="1094" w:type="dxa"/>
                  <w:noWrap w:val="0"/>
                  <w:vAlign w:val="center"/>
                </w:tcPr>
                <w:p>
                  <w:pPr>
                    <w:jc w:val="center"/>
                    <w:rPr>
                      <w:color w:val="auto"/>
                      <w:sz w:val="21"/>
                      <w:szCs w:val="21"/>
                    </w:rPr>
                  </w:pPr>
                  <w:r>
                    <w:rPr>
                      <w:color w:val="auto"/>
                      <w:sz w:val="21"/>
                      <w:szCs w:val="21"/>
                    </w:rPr>
                    <w:t>昼间</w:t>
                  </w:r>
                </w:p>
              </w:tc>
              <w:tc>
                <w:tcPr>
                  <w:tcW w:w="822"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63</w:t>
                  </w:r>
                </w:p>
              </w:tc>
              <w:tc>
                <w:tcPr>
                  <w:tcW w:w="924"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64</w:t>
                  </w:r>
                </w:p>
              </w:tc>
              <w:tc>
                <w:tcPr>
                  <w:tcW w:w="885"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61</w:t>
                  </w:r>
                </w:p>
              </w:tc>
              <w:tc>
                <w:tcPr>
                  <w:tcW w:w="990"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61</w:t>
                  </w:r>
                </w:p>
              </w:tc>
              <w:tc>
                <w:tcPr>
                  <w:tcW w:w="1125" w:type="dxa"/>
                  <w:noWrap w:val="0"/>
                  <w:vAlign w:val="center"/>
                </w:tcPr>
                <w:p>
                  <w:pPr>
                    <w:jc w:val="center"/>
                    <w:rPr>
                      <w:color w:val="auto"/>
                      <w:sz w:val="21"/>
                      <w:szCs w:val="21"/>
                    </w:rPr>
                  </w:pPr>
                  <w:r>
                    <w:rPr>
                      <w:color w:val="auto"/>
                      <w:sz w:val="21"/>
                      <w:szCs w:val="21"/>
                    </w:rPr>
                    <w:t>65</w:t>
                  </w:r>
                </w:p>
              </w:tc>
              <w:tc>
                <w:tcPr>
                  <w:tcW w:w="1096" w:type="dxa"/>
                  <w:noWrap w:val="0"/>
                  <w:vAlign w:val="center"/>
                </w:tcPr>
                <w:p>
                  <w:pPr>
                    <w:jc w:val="center"/>
                    <w:rPr>
                      <w:color w:val="auto"/>
                      <w:sz w:val="21"/>
                      <w:szCs w:val="21"/>
                    </w:rPr>
                  </w:pPr>
                  <w:r>
                    <w:rPr>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jc w:val="center"/>
                    <w:rPr>
                      <w:color w:val="auto"/>
                      <w:sz w:val="21"/>
                      <w:szCs w:val="21"/>
                    </w:rPr>
                  </w:pPr>
                </w:p>
              </w:tc>
              <w:tc>
                <w:tcPr>
                  <w:tcW w:w="1094" w:type="dxa"/>
                  <w:noWrap w:val="0"/>
                  <w:vAlign w:val="center"/>
                </w:tcPr>
                <w:p>
                  <w:pPr>
                    <w:jc w:val="center"/>
                    <w:rPr>
                      <w:color w:val="auto"/>
                      <w:sz w:val="21"/>
                      <w:szCs w:val="21"/>
                    </w:rPr>
                  </w:pPr>
                  <w:r>
                    <w:rPr>
                      <w:color w:val="auto"/>
                      <w:sz w:val="21"/>
                      <w:szCs w:val="21"/>
                    </w:rPr>
                    <w:t>夜间</w:t>
                  </w:r>
                </w:p>
              </w:tc>
              <w:tc>
                <w:tcPr>
                  <w:tcW w:w="822"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54</w:t>
                  </w:r>
                </w:p>
              </w:tc>
              <w:tc>
                <w:tcPr>
                  <w:tcW w:w="924"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54</w:t>
                  </w:r>
                </w:p>
              </w:tc>
              <w:tc>
                <w:tcPr>
                  <w:tcW w:w="885"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54</w:t>
                  </w:r>
                </w:p>
              </w:tc>
              <w:tc>
                <w:tcPr>
                  <w:tcW w:w="990"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54</w:t>
                  </w:r>
                </w:p>
              </w:tc>
              <w:tc>
                <w:tcPr>
                  <w:tcW w:w="1125" w:type="dxa"/>
                  <w:noWrap w:val="0"/>
                  <w:vAlign w:val="center"/>
                </w:tcPr>
                <w:p>
                  <w:pPr>
                    <w:jc w:val="center"/>
                    <w:rPr>
                      <w:color w:val="auto"/>
                      <w:sz w:val="21"/>
                      <w:szCs w:val="21"/>
                    </w:rPr>
                  </w:pPr>
                  <w:r>
                    <w:rPr>
                      <w:color w:val="auto"/>
                      <w:sz w:val="21"/>
                      <w:szCs w:val="21"/>
                    </w:rPr>
                    <w:t>55</w:t>
                  </w:r>
                </w:p>
              </w:tc>
              <w:tc>
                <w:tcPr>
                  <w:tcW w:w="1096" w:type="dxa"/>
                  <w:noWrap w:val="0"/>
                  <w:vAlign w:val="center"/>
                </w:tcPr>
                <w:p>
                  <w:pPr>
                    <w:jc w:val="center"/>
                    <w:rPr>
                      <w:color w:val="auto"/>
                      <w:sz w:val="21"/>
                      <w:szCs w:val="21"/>
                    </w:rPr>
                  </w:pPr>
                  <w:r>
                    <w:rPr>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447" w:type="dxa"/>
                  <w:vMerge w:val="restart"/>
                  <w:noWrap w:val="0"/>
                  <w:vAlign w:val="center"/>
                </w:tcPr>
                <w:p>
                  <w:pPr>
                    <w:jc w:val="center"/>
                    <w:rPr>
                      <w:color w:val="auto"/>
                      <w:sz w:val="21"/>
                      <w:szCs w:val="21"/>
                    </w:rPr>
                  </w:pPr>
                  <w:r>
                    <w:rPr>
                      <w:color w:val="auto"/>
                      <w:sz w:val="21"/>
                      <w:szCs w:val="21"/>
                    </w:rPr>
                    <w:t>4#</w:t>
                  </w:r>
                  <w:r>
                    <w:rPr>
                      <w:rFonts w:hint="eastAsia"/>
                      <w:color w:val="auto"/>
                      <w:sz w:val="21"/>
                      <w:szCs w:val="21"/>
                      <w:lang w:val="en-US" w:eastAsia="zh-CN"/>
                    </w:rPr>
                    <w:t>厂</w:t>
                  </w:r>
                  <w:r>
                    <w:rPr>
                      <w:color w:val="auto"/>
                      <w:sz w:val="21"/>
                      <w:szCs w:val="21"/>
                    </w:rPr>
                    <w:t>界</w:t>
                  </w:r>
                  <w:r>
                    <w:rPr>
                      <w:rFonts w:hint="eastAsia"/>
                      <w:color w:val="auto"/>
                      <w:sz w:val="21"/>
                      <w:szCs w:val="21"/>
                      <w:lang w:val="en-US" w:eastAsia="zh-CN"/>
                    </w:rPr>
                    <w:t>东南</w:t>
                  </w:r>
                  <w:r>
                    <w:rPr>
                      <w:color w:val="auto"/>
                      <w:sz w:val="21"/>
                      <w:szCs w:val="21"/>
                    </w:rPr>
                    <w:t>侧外1m</w:t>
                  </w:r>
                  <w:r>
                    <w:rPr>
                      <w:rFonts w:hint="eastAsia"/>
                      <w:color w:val="auto"/>
                      <w:sz w:val="21"/>
                      <w:szCs w:val="21"/>
                      <w:lang w:val="en-US" w:eastAsia="zh-CN"/>
                    </w:rPr>
                    <w:t>处</w:t>
                  </w:r>
                </w:p>
              </w:tc>
              <w:tc>
                <w:tcPr>
                  <w:tcW w:w="1094" w:type="dxa"/>
                  <w:noWrap w:val="0"/>
                  <w:vAlign w:val="center"/>
                </w:tcPr>
                <w:p>
                  <w:pPr>
                    <w:jc w:val="center"/>
                    <w:rPr>
                      <w:color w:val="auto"/>
                      <w:sz w:val="21"/>
                      <w:szCs w:val="21"/>
                    </w:rPr>
                  </w:pPr>
                  <w:r>
                    <w:rPr>
                      <w:color w:val="auto"/>
                      <w:sz w:val="21"/>
                      <w:szCs w:val="21"/>
                    </w:rPr>
                    <w:t>昼间</w:t>
                  </w:r>
                </w:p>
              </w:tc>
              <w:tc>
                <w:tcPr>
                  <w:tcW w:w="822"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54</w:t>
                  </w:r>
                </w:p>
              </w:tc>
              <w:tc>
                <w:tcPr>
                  <w:tcW w:w="924"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55</w:t>
                  </w:r>
                </w:p>
              </w:tc>
              <w:tc>
                <w:tcPr>
                  <w:tcW w:w="885"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60</w:t>
                  </w:r>
                </w:p>
              </w:tc>
              <w:tc>
                <w:tcPr>
                  <w:tcW w:w="990"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57</w:t>
                  </w:r>
                </w:p>
              </w:tc>
              <w:tc>
                <w:tcPr>
                  <w:tcW w:w="1125" w:type="dxa"/>
                  <w:noWrap w:val="0"/>
                  <w:vAlign w:val="center"/>
                </w:tcPr>
                <w:p>
                  <w:pPr>
                    <w:jc w:val="center"/>
                    <w:rPr>
                      <w:color w:val="auto"/>
                      <w:sz w:val="21"/>
                      <w:szCs w:val="21"/>
                    </w:rPr>
                  </w:pPr>
                  <w:r>
                    <w:rPr>
                      <w:color w:val="auto"/>
                      <w:sz w:val="21"/>
                      <w:szCs w:val="21"/>
                    </w:rPr>
                    <w:t>65</w:t>
                  </w:r>
                </w:p>
              </w:tc>
              <w:tc>
                <w:tcPr>
                  <w:tcW w:w="1096" w:type="dxa"/>
                  <w:noWrap w:val="0"/>
                  <w:vAlign w:val="center"/>
                </w:tcPr>
                <w:p>
                  <w:pPr>
                    <w:jc w:val="center"/>
                    <w:rPr>
                      <w:color w:val="auto"/>
                      <w:sz w:val="21"/>
                      <w:szCs w:val="21"/>
                    </w:rPr>
                  </w:pPr>
                  <w:r>
                    <w:rPr>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447" w:type="dxa"/>
                  <w:vMerge w:val="continue"/>
                  <w:noWrap w:val="0"/>
                  <w:vAlign w:val="center"/>
                </w:tcPr>
                <w:p>
                  <w:pPr>
                    <w:jc w:val="center"/>
                    <w:rPr>
                      <w:color w:val="auto"/>
                      <w:sz w:val="21"/>
                      <w:szCs w:val="21"/>
                    </w:rPr>
                  </w:pPr>
                </w:p>
              </w:tc>
              <w:tc>
                <w:tcPr>
                  <w:tcW w:w="1094" w:type="dxa"/>
                  <w:noWrap w:val="0"/>
                  <w:vAlign w:val="center"/>
                </w:tcPr>
                <w:p>
                  <w:pPr>
                    <w:jc w:val="center"/>
                    <w:rPr>
                      <w:color w:val="auto"/>
                      <w:sz w:val="21"/>
                      <w:szCs w:val="21"/>
                    </w:rPr>
                  </w:pPr>
                  <w:r>
                    <w:rPr>
                      <w:color w:val="auto"/>
                      <w:sz w:val="21"/>
                      <w:szCs w:val="21"/>
                    </w:rPr>
                    <w:t>夜间</w:t>
                  </w:r>
                </w:p>
              </w:tc>
              <w:tc>
                <w:tcPr>
                  <w:tcW w:w="822"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52</w:t>
                  </w:r>
                </w:p>
              </w:tc>
              <w:tc>
                <w:tcPr>
                  <w:tcW w:w="924"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51</w:t>
                  </w:r>
                </w:p>
              </w:tc>
              <w:tc>
                <w:tcPr>
                  <w:tcW w:w="885" w:type="dxa"/>
                  <w:noWrap w:val="0"/>
                  <w:vAlign w:val="center"/>
                </w:tcPr>
                <w:p>
                  <w:pPr>
                    <w:spacing w:line="360" w:lineRule="auto"/>
                    <w:jc w:val="center"/>
                    <w:rPr>
                      <w:rFonts w:hint="default" w:eastAsia="宋体"/>
                      <w:color w:val="auto"/>
                      <w:sz w:val="21"/>
                      <w:szCs w:val="21"/>
                      <w:lang w:val="en-US" w:eastAsia="zh-CN"/>
                    </w:rPr>
                  </w:pPr>
                  <w:r>
                    <w:rPr>
                      <w:rFonts w:hint="eastAsia"/>
                      <w:color w:val="auto"/>
                      <w:sz w:val="21"/>
                      <w:szCs w:val="21"/>
                      <w:lang w:val="en-US" w:eastAsia="zh-CN"/>
                    </w:rPr>
                    <w:t>53</w:t>
                  </w:r>
                </w:p>
              </w:tc>
              <w:tc>
                <w:tcPr>
                  <w:tcW w:w="990" w:type="dxa"/>
                  <w:noWrap w:val="0"/>
                  <w:vAlign w:val="center"/>
                </w:tcPr>
                <w:p>
                  <w:pPr>
                    <w:spacing w:line="360" w:lineRule="auto"/>
                    <w:jc w:val="center"/>
                    <w:rPr>
                      <w:rFonts w:hint="default" w:eastAsia="宋体"/>
                      <w:color w:val="auto"/>
                      <w:sz w:val="21"/>
                      <w:szCs w:val="21"/>
                      <w:lang w:val="en-US" w:eastAsia="zh-CN"/>
                    </w:rPr>
                  </w:pPr>
                  <w:r>
                    <w:rPr>
                      <w:rFonts w:hint="eastAsia"/>
                      <w:color w:val="auto"/>
                      <w:sz w:val="21"/>
                      <w:szCs w:val="21"/>
                      <w:lang w:val="en-US" w:eastAsia="zh-CN"/>
                    </w:rPr>
                    <w:t>52</w:t>
                  </w:r>
                </w:p>
              </w:tc>
              <w:tc>
                <w:tcPr>
                  <w:tcW w:w="1125" w:type="dxa"/>
                  <w:noWrap w:val="0"/>
                  <w:vAlign w:val="center"/>
                </w:tcPr>
                <w:p>
                  <w:pPr>
                    <w:jc w:val="center"/>
                    <w:rPr>
                      <w:color w:val="auto"/>
                      <w:sz w:val="21"/>
                      <w:szCs w:val="21"/>
                    </w:rPr>
                  </w:pPr>
                  <w:r>
                    <w:rPr>
                      <w:color w:val="auto"/>
                      <w:sz w:val="21"/>
                      <w:szCs w:val="21"/>
                    </w:rPr>
                    <w:t>55</w:t>
                  </w:r>
                </w:p>
              </w:tc>
              <w:tc>
                <w:tcPr>
                  <w:tcW w:w="1096" w:type="dxa"/>
                  <w:noWrap w:val="0"/>
                  <w:vAlign w:val="center"/>
                </w:tcPr>
                <w:p>
                  <w:pPr>
                    <w:jc w:val="center"/>
                    <w:rPr>
                      <w:color w:val="auto"/>
                      <w:sz w:val="21"/>
                      <w:szCs w:val="21"/>
                    </w:rPr>
                  </w:pPr>
                  <w:r>
                    <w:rPr>
                      <w:color w:val="auto"/>
                      <w:sz w:val="21"/>
                      <w:szCs w:val="21"/>
                    </w:rPr>
                    <w:t>达标</w:t>
                  </w:r>
                </w:p>
              </w:tc>
            </w:tr>
          </w:tbl>
          <w:p>
            <w:pPr>
              <w:spacing w:line="360" w:lineRule="auto"/>
              <w:ind w:firstLine="480" w:firstLineChars="200"/>
              <w:rPr>
                <w:color w:val="auto"/>
                <w:sz w:val="24"/>
                <w:szCs w:val="24"/>
              </w:rPr>
            </w:pPr>
            <w:r>
              <w:rPr>
                <w:color w:val="auto"/>
                <w:sz w:val="24"/>
                <w:szCs w:val="24"/>
              </w:rPr>
              <w:t>由表3-7可</w:t>
            </w:r>
            <w:r>
              <w:rPr>
                <w:rFonts w:hint="eastAsia"/>
                <w:color w:val="auto"/>
                <w:sz w:val="24"/>
                <w:szCs w:val="24"/>
                <w:lang w:val="en-US" w:eastAsia="zh-CN"/>
              </w:rPr>
              <w:t>知</w:t>
            </w:r>
            <w:r>
              <w:rPr>
                <w:color w:val="auto"/>
                <w:sz w:val="24"/>
                <w:szCs w:val="24"/>
              </w:rPr>
              <w:t>，项目</w:t>
            </w:r>
            <w:r>
              <w:rPr>
                <w:rFonts w:hint="eastAsia"/>
                <w:color w:val="auto"/>
                <w:sz w:val="24"/>
                <w:szCs w:val="24"/>
                <w:lang w:val="en-US" w:eastAsia="zh-CN"/>
              </w:rPr>
              <w:t>厂界噪声满足</w:t>
            </w:r>
            <w:r>
              <w:rPr>
                <w:rFonts w:hint="eastAsia"/>
                <w:color w:val="auto"/>
                <w:sz w:val="24"/>
                <w:szCs w:val="24"/>
              </w:rPr>
              <w:t>《工业企业厂界环境噪声排放标准》（GB12348-2008）中</w:t>
            </w:r>
            <w:r>
              <w:rPr>
                <w:rFonts w:hint="eastAsia"/>
                <w:color w:val="auto"/>
                <w:sz w:val="24"/>
                <w:szCs w:val="24"/>
                <w:lang w:val="en-US" w:eastAsia="zh-CN"/>
              </w:rPr>
              <w:t>3</w:t>
            </w:r>
            <w:r>
              <w:rPr>
                <w:rFonts w:hint="eastAsia"/>
                <w:color w:val="auto"/>
                <w:sz w:val="24"/>
                <w:szCs w:val="24"/>
              </w:rPr>
              <w:t>类声环境功能区标准</w:t>
            </w:r>
            <w:r>
              <w:rPr>
                <w:color w:val="auto"/>
                <w:sz w:val="24"/>
                <w:szCs w:val="24"/>
              </w:rPr>
              <w:t>，</w:t>
            </w:r>
            <w:r>
              <w:rPr>
                <w:rFonts w:hint="eastAsia"/>
                <w:color w:val="auto"/>
                <w:sz w:val="24"/>
                <w:szCs w:val="24"/>
                <w:lang w:val="en-US" w:eastAsia="zh-CN"/>
              </w:rPr>
              <w:t>对</w:t>
            </w:r>
            <w:r>
              <w:rPr>
                <w:color w:val="auto"/>
                <w:sz w:val="24"/>
                <w:szCs w:val="24"/>
              </w:rPr>
              <w:t>项目所在地声环境质量较好。</w:t>
            </w:r>
          </w:p>
          <w:p>
            <w:pPr>
              <w:spacing w:line="360" w:lineRule="auto"/>
              <w:rPr>
                <w:rFonts w:ascii="Times New Roman" w:hAnsi="Times New Roman"/>
                <w:color w:val="auto"/>
                <w:sz w:val="24"/>
                <w:szCs w:val="32"/>
              </w:rPr>
            </w:pPr>
            <w:r>
              <w:rPr>
                <w:rFonts w:hint="eastAsia" w:ascii="Times New Roman" w:hAnsi="Times New Roman"/>
                <w:b/>
                <w:color w:val="auto"/>
                <w:sz w:val="24"/>
                <w:szCs w:val="32"/>
                <w:lang w:val="en-US" w:eastAsia="zh-CN"/>
              </w:rPr>
              <w:t>四</w:t>
            </w:r>
            <w:r>
              <w:rPr>
                <w:rFonts w:hint="eastAsia" w:ascii="Times New Roman" w:hAnsi="Times New Roman"/>
                <w:b/>
                <w:color w:val="auto"/>
                <w:sz w:val="24"/>
                <w:szCs w:val="32"/>
              </w:rPr>
              <w:t>、</w:t>
            </w:r>
            <w:r>
              <w:rPr>
                <w:rFonts w:ascii="Times New Roman" w:hAnsi="Times New Roman"/>
                <w:b/>
                <w:color w:val="auto"/>
                <w:sz w:val="24"/>
                <w:szCs w:val="32"/>
              </w:rPr>
              <w:t>地</w:t>
            </w:r>
            <w:r>
              <w:rPr>
                <w:rFonts w:hint="eastAsia" w:ascii="Times New Roman" w:hAnsi="Times New Roman"/>
                <w:b/>
                <w:color w:val="auto"/>
                <w:sz w:val="24"/>
                <w:szCs w:val="32"/>
              </w:rPr>
              <w:t>下</w:t>
            </w:r>
            <w:r>
              <w:rPr>
                <w:rFonts w:ascii="Times New Roman" w:hAnsi="Times New Roman"/>
                <w:b/>
                <w:color w:val="auto"/>
                <w:sz w:val="24"/>
                <w:szCs w:val="32"/>
              </w:rPr>
              <w:t>水环境质量现状</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本项目所在区域地下水水质现状</w:t>
            </w:r>
            <w:r>
              <w:rPr>
                <w:rFonts w:hint="eastAsia" w:ascii="Times New Roman" w:hAnsi="Times New Roman"/>
                <w:color w:val="auto"/>
                <w:sz w:val="24"/>
                <w:szCs w:val="24"/>
                <w:lang w:val="en-US" w:eastAsia="zh-CN"/>
              </w:rPr>
              <w:t>引用</w:t>
            </w:r>
            <w:r>
              <w:rPr>
                <w:rFonts w:ascii="Times New Roman" w:hAnsi="Times New Roman"/>
                <w:color w:val="auto"/>
                <w:sz w:val="24"/>
                <w:szCs w:val="24"/>
              </w:rPr>
              <w:t>四川华皓检测技术有限公司于2020年8月13日、9月9日对项目所在区域地下水水质的监测结果（HH20081107）。</w:t>
            </w:r>
          </w:p>
          <w:p>
            <w:pPr>
              <w:spacing w:line="360" w:lineRule="auto"/>
              <w:ind w:firstLine="482" w:firstLineChars="200"/>
              <w:jc w:val="left"/>
              <w:rPr>
                <w:rFonts w:ascii="Times New Roman" w:hAnsi="Times New Roman"/>
                <w:b/>
                <w:bCs/>
                <w:color w:val="auto"/>
                <w:sz w:val="24"/>
                <w:szCs w:val="24"/>
              </w:rPr>
            </w:pPr>
            <w:r>
              <w:rPr>
                <w:rFonts w:hint="eastAsia" w:ascii="Times New Roman" w:hAnsi="Times New Roman"/>
                <w:b/>
                <w:bCs/>
                <w:color w:val="auto"/>
                <w:sz w:val="24"/>
                <w:szCs w:val="24"/>
              </w:rPr>
              <w:t>1、评价标准</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项目所在地地下水环境质量执行《地下水质量标准》（GB/T14848-2017）中的Ⅲ类标准。</w:t>
            </w:r>
          </w:p>
          <w:p>
            <w:pPr>
              <w:spacing w:line="360" w:lineRule="auto"/>
              <w:ind w:firstLine="482" w:firstLineChars="200"/>
              <w:jc w:val="left"/>
              <w:rPr>
                <w:rFonts w:ascii="Times New Roman" w:hAnsi="Times New Roman"/>
                <w:b/>
                <w:bCs/>
                <w:color w:val="auto"/>
                <w:sz w:val="24"/>
                <w:szCs w:val="24"/>
              </w:rPr>
            </w:pPr>
            <w:r>
              <w:rPr>
                <w:rFonts w:hint="eastAsia" w:ascii="Times New Roman" w:hAnsi="Times New Roman"/>
                <w:b/>
                <w:bCs/>
                <w:color w:val="auto"/>
                <w:sz w:val="24"/>
                <w:szCs w:val="24"/>
              </w:rPr>
              <w:t>2、评价方法</w:t>
            </w:r>
          </w:p>
          <w:p>
            <w:pPr>
              <w:pStyle w:val="28"/>
              <w:spacing w:after="0" w:line="360" w:lineRule="auto"/>
              <w:ind w:firstLine="480"/>
              <w:rPr>
                <w:rFonts w:ascii="Times New Roman" w:hAnsi="Times New Roman"/>
                <w:color w:val="auto"/>
                <w:sz w:val="24"/>
                <w:szCs w:val="24"/>
              </w:rPr>
            </w:pPr>
            <w:r>
              <w:rPr>
                <w:rFonts w:ascii="Times New Roman" w:hAnsi="Times New Roman"/>
                <w:color w:val="auto"/>
                <w:sz w:val="24"/>
                <w:szCs w:val="24"/>
              </w:rPr>
              <w:t>按《环境影响评价技术导则 地下水环境》(HJ 610-2016)推荐的标准指数法对地下水环境质量进行评价。标准指数&gt;1，表明该水质因子已超标，标准指数越大，超标越严重。标准指数计算公式分为以下两种情况：</w:t>
            </w:r>
          </w:p>
          <w:p>
            <w:pPr>
              <w:pStyle w:val="28"/>
              <w:spacing w:after="0" w:line="360" w:lineRule="auto"/>
              <w:ind w:firstLine="480"/>
              <w:rPr>
                <w:rFonts w:hint="eastAsia" w:ascii="Times New Roman" w:hAnsi="Times New Roman"/>
                <w:color w:val="auto"/>
                <w:sz w:val="24"/>
                <w:szCs w:val="24"/>
              </w:rPr>
            </w:pPr>
            <w:r>
              <w:rPr>
                <w:rFonts w:ascii="Times New Roman" w:hAnsi="Times New Roman"/>
                <w:color w:val="auto"/>
                <w:sz w:val="24"/>
                <w:szCs w:val="24"/>
              </w:rPr>
              <w:t>a）对于评价标准为定值的水质因子，其标准指数计算方法见公式：</w:t>
            </w:r>
          </w:p>
          <w:p>
            <w:pPr>
              <w:pStyle w:val="28"/>
              <w:spacing w:after="0" w:line="360" w:lineRule="auto"/>
              <w:ind w:firstLine="0" w:firstLineChars="0"/>
              <w:jc w:val="center"/>
              <w:rPr>
                <w:rFonts w:ascii="Times New Roman" w:hAnsi="Times New Roman"/>
                <w:color w:val="auto"/>
                <w:sz w:val="21"/>
                <w:szCs w:val="21"/>
              </w:rPr>
            </w:pPr>
            <w:r>
              <w:rPr>
                <w:rFonts w:ascii="Times New Roman" w:hAnsi="Times New Roman"/>
                <w:color w:val="auto"/>
                <w:position w:val="-30"/>
                <w:sz w:val="21"/>
                <w:szCs w:val="21"/>
              </w:rPr>
              <w:object>
                <v:shape id="_x0000_i1033" o:spt="75" type="#_x0000_t75" style="height:34pt;width:41pt;" o:ole="t" filled="f" o:preferrelative="t" stroked="f" coordsize="21600,21600">
                  <v:path/>
                  <v:fill on="f" focussize="0,0"/>
                  <v:stroke on="f"/>
                  <v:imagedata r:id="rId45" o:title=""/>
                  <o:lock v:ext="edit" aspectratio="t"/>
                  <w10:wrap type="none"/>
                  <w10:anchorlock/>
                </v:shape>
                <o:OLEObject Type="Embed" ProgID="Equation.KSEE3" ShapeID="_x0000_i1033" DrawAspect="Content" ObjectID="_1468075733" r:id="rId44">
                  <o:LockedField>false</o:LockedField>
                </o:OLEObject>
              </w:object>
            </w:r>
          </w:p>
          <w:p>
            <w:pPr>
              <w:pStyle w:val="28"/>
              <w:spacing w:after="0" w:line="360" w:lineRule="auto"/>
              <w:ind w:firstLine="480"/>
              <w:rPr>
                <w:rFonts w:ascii="Times New Roman" w:hAnsi="Times New Roman"/>
                <w:color w:val="auto"/>
                <w:sz w:val="24"/>
                <w:szCs w:val="24"/>
              </w:rPr>
            </w:pPr>
            <w:r>
              <w:rPr>
                <w:rFonts w:ascii="Times New Roman" w:hAnsi="Times New Roman"/>
                <w:color w:val="auto"/>
                <w:sz w:val="24"/>
                <w:szCs w:val="24"/>
              </w:rPr>
              <w:t>式中：P</w:t>
            </w:r>
            <w:r>
              <w:rPr>
                <w:rFonts w:ascii="Times New Roman" w:hAnsi="Times New Roman"/>
                <w:color w:val="auto"/>
                <w:sz w:val="24"/>
                <w:szCs w:val="24"/>
                <w:vertAlign w:val="subscript"/>
              </w:rPr>
              <w:t>i</w:t>
            </w:r>
            <w:r>
              <w:rPr>
                <w:rFonts w:ascii="Times New Roman" w:hAnsi="Times New Roman"/>
                <w:color w:val="auto"/>
                <w:sz w:val="24"/>
                <w:szCs w:val="24"/>
              </w:rPr>
              <w:t>—第i个水质因子的标准指数，无量纲；</w:t>
            </w:r>
          </w:p>
          <w:p>
            <w:pPr>
              <w:pStyle w:val="28"/>
              <w:spacing w:after="0" w:line="360" w:lineRule="auto"/>
              <w:ind w:firstLine="1200" w:firstLineChars="500"/>
              <w:rPr>
                <w:rFonts w:ascii="Times New Roman" w:hAnsi="Times New Roman"/>
                <w:color w:val="auto"/>
                <w:sz w:val="24"/>
                <w:szCs w:val="24"/>
              </w:rPr>
            </w:pPr>
            <w:r>
              <w:rPr>
                <w:rFonts w:ascii="Times New Roman" w:hAnsi="Times New Roman"/>
                <w:color w:val="auto"/>
                <w:sz w:val="24"/>
                <w:szCs w:val="24"/>
              </w:rPr>
              <w:t>C</w:t>
            </w:r>
            <w:r>
              <w:rPr>
                <w:rFonts w:ascii="Times New Roman" w:hAnsi="Times New Roman"/>
                <w:color w:val="auto"/>
                <w:sz w:val="24"/>
                <w:szCs w:val="24"/>
                <w:vertAlign w:val="subscript"/>
              </w:rPr>
              <w:t>i</w:t>
            </w:r>
            <w:r>
              <w:rPr>
                <w:rFonts w:ascii="Times New Roman" w:hAnsi="Times New Roman"/>
                <w:color w:val="auto"/>
                <w:sz w:val="24"/>
                <w:szCs w:val="24"/>
              </w:rPr>
              <w:t>—第i个水质因子的监测浓度值，mg/L；</w:t>
            </w:r>
          </w:p>
          <w:p>
            <w:pPr>
              <w:pStyle w:val="28"/>
              <w:spacing w:after="0" w:line="360" w:lineRule="auto"/>
              <w:ind w:firstLine="1200" w:firstLineChars="500"/>
              <w:rPr>
                <w:rFonts w:ascii="Times New Roman" w:hAnsi="Times New Roman"/>
                <w:color w:val="auto"/>
                <w:sz w:val="24"/>
                <w:szCs w:val="24"/>
              </w:rPr>
            </w:pPr>
            <w:r>
              <w:rPr>
                <w:rFonts w:ascii="Times New Roman" w:hAnsi="Times New Roman"/>
                <w:color w:val="auto"/>
                <w:sz w:val="24"/>
                <w:szCs w:val="24"/>
              </w:rPr>
              <w:t>C</w:t>
            </w:r>
            <w:r>
              <w:rPr>
                <w:rFonts w:ascii="Times New Roman" w:hAnsi="Times New Roman"/>
                <w:color w:val="auto"/>
                <w:sz w:val="24"/>
                <w:szCs w:val="24"/>
                <w:vertAlign w:val="subscript"/>
              </w:rPr>
              <w:t>si</w:t>
            </w:r>
            <w:r>
              <w:rPr>
                <w:rFonts w:ascii="Times New Roman" w:hAnsi="Times New Roman"/>
                <w:color w:val="auto"/>
                <w:sz w:val="24"/>
                <w:szCs w:val="24"/>
              </w:rPr>
              <w:t>—第i个水质因子的标准浓度值，mg/L；</w:t>
            </w:r>
          </w:p>
          <w:p>
            <w:pPr>
              <w:pStyle w:val="28"/>
              <w:spacing w:after="0" w:line="360" w:lineRule="auto"/>
              <w:ind w:firstLine="480"/>
              <w:rPr>
                <w:rFonts w:ascii="Times New Roman" w:hAnsi="Times New Roman"/>
                <w:color w:val="auto"/>
                <w:sz w:val="24"/>
                <w:szCs w:val="24"/>
              </w:rPr>
            </w:pPr>
            <w:r>
              <w:rPr>
                <w:rFonts w:ascii="Times New Roman" w:hAnsi="Times New Roman"/>
                <w:color w:val="auto"/>
                <w:sz w:val="24"/>
                <w:szCs w:val="24"/>
              </w:rPr>
              <w:t>b）对于评价标准为区间值的水质因子（如pH值），其标准指数计算方法见公式：</w:t>
            </w:r>
          </w:p>
          <w:p>
            <w:pPr>
              <w:pStyle w:val="28"/>
              <w:spacing w:after="0" w:line="360" w:lineRule="auto"/>
              <w:ind w:firstLine="0" w:firstLineChars="0"/>
              <w:jc w:val="center"/>
              <w:rPr>
                <w:rFonts w:ascii="Times New Roman" w:hAnsi="Times New Roman"/>
                <w:color w:val="auto"/>
                <w:sz w:val="21"/>
                <w:szCs w:val="21"/>
              </w:rPr>
            </w:pPr>
            <w:r>
              <w:rPr>
                <w:rFonts w:ascii="Times New Roman" w:hAnsi="Times New Roman"/>
                <w:color w:val="auto"/>
                <w:position w:val="-30"/>
                <w:sz w:val="21"/>
                <w:szCs w:val="21"/>
              </w:rPr>
              <w:object>
                <v:shape id="_x0000_i1034" o:spt="75" type="#_x0000_t75" style="height:34pt;width:83pt;" o:ole="t" filled="f" o:preferrelative="t" stroked="f" coordsize="21600,21600">
                  <v:path/>
                  <v:fill on="f" focussize="0,0"/>
                  <v:stroke on="f"/>
                  <v:imagedata r:id="rId47" o:title=""/>
                  <o:lock v:ext="edit" aspectratio="t"/>
                  <w10:wrap type="none"/>
                  <w10:anchorlock/>
                </v:shape>
                <o:OLEObject Type="Embed" ProgID="Equation.KSEE3" ShapeID="_x0000_i1034" DrawAspect="Content" ObjectID="_1468075734" r:id="rId46">
                  <o:LockedField>false</o:LockedField>
                </o:OLEObject>
              </w:object>
            </w:r>
            <w:r>
              <w:rPr>
                <w:rFonts w:ascii="Times New Roman" w:hAnsi="Times New Roman"/>
                <w:color w:val="auto"/>
                <w:sz w:val="21"/>
                <w:szCs w:val="21"/>
              </w:rPr>
              <w:t xml:space="preserve">   </w:t>
            </w:r>
            <w:r>
              <w:rPr>
                <w:rFonts w:hint="eastAsia" w:ascii="Times New Roman" w:hAnsi="Times New Roman"/>
                <w:color w:val="auto"/>
                <w:sz w:val="21"/>
                <w:szCs w:val="21"/>
              </w:rPr>
              <w:t>p</w:t>
            </w:r>
            <w:r>
              <w:rPr>
                <w:rFonts w:ascii="Times New Roman" w:hAnsi="Times New Roman"/>
                <w:color w:val="auto"/>
                <w:sz w:val="21"/>
                <w:szCs w:val="21"/>
              </w:rPr>
              <w:t>H≤7时</w:t>
            </w:r>
          </w:p>
          <w:p>
            <w:pPr>
              <w:pStyle w:val="28"/>
              <w:spacing w:after="0" w:line="360" w:lineRule="auto"/>
              <w:ind w:firstLine="0" w:firstLineChars="0"/>
              <w:jc w:val="center"/>
              <w:rPr>
                <w:rFonts w:ascii="Times New Roman" w:hAnsi="Times New Roman"/>
                <w:color w:val="auto"/>
                <w:sz w:val="21"/>
                <w:szCs w:val="21"/>
              </w:rPr>
            </w:pPr>
            <w:r>
              <w:rPr>
                <w:rFonts w:ascii="Times New Roman" w:hAnsi="Times New Roman"/>
                <w:color w:val="auto"/>
                <w:position w:val="-30"/>
                <w:sz w:val="21"/>
                <w:szCs w:val="21"/>
              </w:rPr>
              <w:object>
                <v:shape id="_x0000_i1035" o:spt="75" type="#_x0000_t75" style="height:34pt;width:83pt;" o:ole="t" filled="f" o:preferrelative="t" stroked="f" coordsize="21600,21600">
                  <v:path/>
                  <v:fill on="f" focussize="0,0"/>
                  <v:stroke on="f"/>
                  <v:imagedata r:id="rId49" o:title=""/>
                  <o:lock v:ext="edit" aspectratio="t"/>
                  <w10:wrap type="none"/>
                  <w10:anchorlock/>
                </v:shape>
                <o:OLEObject Type="Embed" ProgID="Equation.KSEE3" ShapeID="_x0000_i1035" DrawAspect="Content" ObjectID="_1468075735" r:id="rId48">
                  <o:LockedField>false</o:LockedField>
                </o:OLEObject>
              </w:object>
            </w:r>
            <w:r>
              <w:rPr>
                <w:rFonts w:ascii="Times New Roman" w:hAnsi="Times New Roman"/>
                <w:color w:val="auto"/>
                <w:sz w:val="21"/>
                <w:szCs w:val="21"/>
              </w:rPr>
              <w:t xml:space="preserve">   pH&gt;7时</w:t>
            </w:r>
          </w:p>
          <w:p>
            <w:pPr>
              <w:pStyle w:val="28"/>
              <w:spacing w:after="0" w:line="360" w:lineRule="auto"/>
              <w:ind w:firstLine="480"/>
              <w:rPr>
                <w:rFonts w:ascii="Times New Roman" w:hAnsi="Times New Roman"/>
                <w:color w:val="auto"/>
                <w:sz w:val="24"/>
                <w:szCs w:val="24"/>
              </w:rPr>
            </w:pPr>
            <w:r>
              <w:rPr>
                <w:rFonts w:hint="eastAsia" w:ascii="Times New Roman" w:hAnsi="Times New Roman"/>
                <w:color w:val="auto"/>
                <w:sz w:val="24"/>
                <w:szCs w:val="24"/>
              </w:rPr>
              <w:t>式中：P</w:t>
            </w:r>
            <w:r>
              <w:rPr>
                <w:rFonts w:hint="eastAsia" w:ascii="Times New Roman" w:hAnsi="Times New Roman"/>
                <w:color w:val="auto"/>
                <w:sz w:val="24"/>
                <w:szCs w:val="24"/>
                <w:vertAlign w:val="subscript"/>
              </w:rPr>
              <w:t>pH</w:t>
            </w:r>
            <w:r>
              <w:rPr>
                <w:rFonts w:hint="eastAsia" w:ascii="Times New Roman" w:hAnsi="Times New Roman"/>
                <w:color w:val="auto"/>
                <w:sz w:val="24"/>
                <w:szCs w:val="24"/>
              </w:rPr>
              <w:t>—</w:t>
            </w:r>
            <w:r>
              <w:rPr>
                <w:rFonts w:ascii="Times New Roman" w:hAnsi="Times New Roman"/>
                <w:color w:val="auto"/>
                <w:sz w:val="24"/>
                <w:szCs w:val="24"/>
              </w:rPr>
              <w:t>pH的标准指数</w:t>
            </w:r>
            <w:r>
              <w:rPr>
                <w:rFonts w:hint="eastAsia" w:ascii="Times New Roman" w:hAnsi="Times New Roman"/>
                <w:color w:val="auto"/>
                <w:sz w:val="24"/>
                <w:szCs w:val="24"/>
              </w:rPr>
              <w:t>，无量纲</w:t>
            </w:r>
            <w:r>
              <w:rPr>
                <w:rFonts w:ascii="Times New Roman" w:hAnsi="Times New Roman"/>
                <w:color w:val="auto"/>
                <w:sz w:val="24"/>
                <w:szCs w:val="24"/>
              </w:rPr>
              <w:t>；</w:t>
            </w:r>
          </w:p>
          <w:p>
            <w:pPr>
              <w:pStyle w:val="28"/>
              <w:spacing w:after="0" w:line="360" w:lineRule="auto"/>
              <w:ind w:firstLine="1200" w:firstLineChars="500"/>
              <w:rPr>
                <w:rFonts w:ascii="Times New Roman" w:hAnsi="Times New Roman"/>
                <w:color w:val="auto"/>
                <w:sz w:val="24"/>
                <w:szCs w:val="24"/>
              </w:rPr>
            </w:pPr>
            <w:r>
              <w:rPr>
                <w:rFonts w:ascii="Times New Roman" w:hAnsi="Times New Roman"/>
                <w:color w:val="auto"/>
                <w:sz w:val="24"/>
                <w:szCs w:val="24"/>
              </w:rPr>
              <w:t>pH</w:t>
            </w:r>
            <w:r>
              <w:rPr>
                <w:rFonts w:hint="eastAsia" w:ascii="Times New Roman" w:hAnsi="Times New Roman"/>
                <w:color w:val="auto"/>
                <w:sz w:val="24"/>
                <w:szCs w:val="24"/>
              </w:rPr>
              <w:t>—</w:t>
            </w:r>
            <w:r>
              <w:rPr>
                <w:rFonts w:ascii="Times New Roman" w:hAnsi="Times New Roman"/>
                <w:color w:val="auto"/>
                <w:sz w:val="24"/>
                <w:szCs w:val="24"/>
              </w:rPr>
              <w:t>pH</w:t>
            </w:r>
            <w:r>
              <w:rPr>
                <w:rFonts w:hint="eastAsia" w:ascii="Times New Roman" w:hAnsi="Times New Roman"/>
                <w:color w:val="auto"/>
                <w:sz w:val="24"/>
                <w:szCs w:val="24"/>
              </w:rPr>
              <w:t>的监测值</w:t>
            </w:r>
            <w:r>
              <w:rPr>
                <w:rFonts w:ascii="Times New Roman" w:hAnsi="Times New Roman"/>
                <w:color w:val="auto"/>
                <w:sz w:val="24"/>
                <w:szCs w:val="24"/>
              </w:rPr>
              <w:t>；</w:t>
            </w:r>
          </w:p>
          <w:p>
            <w:pPr>
              <w:pStyle w:val="28"/>
              <w:spacing w:after="0" w:line="360" w:lineRule="auto"/>
              <w:ind w:firstLine="1200" w:firstLineChars="500"/>
              <w:rPr>
                <w:rFonts w:ascii="Times New Roman" w:hAnsi="Times New Roman"/>
                <w:color w:val="auto"/>
                <w:sz w:val="24"/>
                <w:szCs w:val="24"/>
              </w:rPr>
            </w:pPr>
            <w:r>
              <w:rPr>
                <w:rFonts w:ascii="Times New Roman" w:hAnsi="Times New Roman"/>
                <w:color w:val="auto"/>
                <w:sz w:val="24"/>
                <w:szCs w:val="24"/>
              </w:rPr>
              <w:t>pH</w:t>
            </w:r>
            <w:r>
              <w:rPr>
                <w:rFonts w:hint="eastAsia" w:ascii="Times New Roman" w:hAnsi="Times New Roman"/>
                <w:color w:val="auto"/>
                <w:sz w:val="24"/>
                <w:szCs w:val="24"/>
                <w:vertAlign w:val="subscript"/>
              </w:rPr>
              <w:t>su</w:t>
            </w:r>
            <w:r>
              <w:rPr>
                <w:rFonts w:hint="eastAsia" w:ascii="Times New Roman" w:hAnsi="Times New Roman"/>
                <w:color w:val="auto"/>
                <w:sz w:val="24"/>
                <w:szCs w:val="24"/>
              </w:rPr>
              <w:t>—</w:t>
            </w:r>
            <w:r>
              <w:rPr>
                <w:rFonts w:ascii="Times New Roman" w:hAnsi="Times New Roman"/>
                <w:color w:val="auto"/>
                <w:sz w:val="24"/>
                <w:szCs w:val="24"/>
              </w:rPr>
              <w:t>标准中pH</w:t>
            </w:r>
            <w:r>
              <w:rPr>
                <w:rFonts w:hint="eastAsia" w:ascii="Times New Roman" w:hAnsi="Times New Roman"/>
                <w:color w:val="auto"/>
                <w:sz w:val="24"/>
                <w:szCs w:val="24"/>
              </w:rPr>
              <w:t>的上</w:t>
            </w:r>
            <w:r>
              <w:rPr>
                <w:rFonts w:ascii="Times New Roman" w:hAnsi="Times New Roman"/>
                <w:color w:val="auto"/>
                <w:sz w:val="24"/>
                <w:szCs w:val="24"/>
              </w:rPr>
              <w:t>限值；</w:t>
            </w:r>
          </w:p>
          <w:p>
            <w:pPr>
              <w:pStyle w:val="28"/>
              <w:spacing w:after="0" w:line="360" w:lineRule="auto"/>
              <w:ind w:firstLine="1200" w:firstLineChars="500"/>
              <w:rPr>
                <w:rFonts w:hint="eastAsia" w:ascii="Times New Roman" w:hAnsi="Times New Roman"/>
                <w:color w:val="auto"/>
                <w:sz w:val="24"/>
                <w:szCs w:val="24"/>
              </w:rPr>
            </w:pPr>
            <w:r>
              <w:rPr>
                <w:rFonts w:ascii="Times New Roman" w:hAnsi="Times New Roman"/>
                <w:color w:val="auto"/>
                <w:sz w:val="24"/>
                <w:szCs w:val="24"/>
              </w:rPr>
              <w:t>pH</w:t>
            </w:r>
            <w:r>
              <w:rPr>
                <w:rFonts w:ascii="Times New Roman" w:hAnsi="Times New Roman"/>
                <w:color w:val="auto"/>
                <w:sz w:val="24"/>
                <w:szCs w:val="24"/>
                <w:vertAlign w:val="subscript"/>
              </w:rPr>
              <w:t>s</w:t>
            </w:r>
            <w:r>
              <w:rPr>
                <w:rFonts w:hint="eastAsia" w:ascii="Times New Roman" w:hAnsi="Times New Roman"/>
                <w:color w:val="auto"/>
                <w:sz w:val="24"/>
                <w:szCs w:val="24"/>
                <w:vertAlign w:val="subscript"/>
              </w:rPr>
              <w:t>d</w:t>
            </w:r>
            <w:r>
              <w:rPr>
                <w:rFonts w:hint="eastAsia" w:ascii="Times New Roman" w:hAnsi="Times New Roman"/>
                <w:color w:val="auto"/>
                <w:sz w:val="24"/>
                <w:szCs w:val="24"/>
              </w:rPr>
              <w:t>—</w:t>
            </w:r>
            <w:r>
              <w:rPr>
                <w:rFonts w:ascii="Times New Roman" w:hAnsi="Times New Roman"/>
                <w:color w:val="auto"/>
                <w:sz w:val="24"/>
                <w:szCs w:val="24"/>
              </w:rPr>
              <w:t>标准中pH</w:t>
            </w:r>
            <w:r>
              <w:rPr>
                <w:rFonts w:hint="eastAsia" w:ascii="Times New Roman" w:hAnsi="Times New Roman"/>
                <w:color w:val="auto"/>
                <w:sz w:val="24"/>
                <w:szCs w:val="24"/>
              </w:rPr>
              <w:t>的下</w:t>
            </w:r>
            <w:r>
              <w:rPr>
                <w:rFonts w:ascii="Times New Roman" w:hAnsi="Times New Roman"/>
                <w:color w:val="auto"/>
                <w:sz w:val="24"/>
                <w:szCs w:val="24"/>
              </w:rPr>
              <w:t>限</w:t>
            </w:r>
            <w:r>
              <w:rPr>
                <w:rFonts w:hint="eastAsia" w:ascii="Times New Roman" w:hAnsi="Times New Roman"/>
                <w:color w:val="auto"/>
                <w:sz w:val="24"/>
                <w:szCs w:val="24"/>
              </w:rPr>
              <w:t>值。</w:t>
            </w:r>
          </w:p>
          <w:p>
            <w:pPr>
              <w:spacing w:line="360" w:lineRule="auto"/>
              <w:ind w:firstLine="482" w:firstLineChars="200"/>
              <w:jc w:val="left"/>
              <w:rPr>
                <w:rFonts w:ascii="Times New Roman" w:hAnsi="Times New Roman"/>
                <w:b/>
                <w:bCs/>
                <w:color w:val="auto"/>
                <w:sz w:val="24"/>
                <w:szCs w:val="24"/>
              </w:rPr>
            </w:pPr>
            <w:r>
              <w:rPr>
                <w:rFonts w:hint="eastAsia" w:ascii="Times New Roman" w:hAnsi="Times New Roman"/>
                <w:b/>
                <w:bCs/>
                <w:color w:val="auto"/>
                <w:sz w:val="24"/>
                <w:szCs w:val="24"/>
              </w:rPr>
              <w:t>3、监测结果</w:t>
            </w:r>
          </w:p>
          <w:p>
            <w:pPr>
              <w:spacing w:line="240" w:lineRule="auto"/>
              <w:jc w:val="center"/>
              <w:rPr>
                <w:rFonts w:ascii="Times New Roman" w:hAnsi="Times New Roman"/>
                <w:b/>
                <w:bCs/>
                <w:color w:val="auto"/>
                <w:sz w:val="21"/>
                <w:szCs w:val="21"/>
              </w:rPr>
            </w:pP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rPr>
              <w:t>3</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8</w:t>
            </w:r>
            <w:r>
              <w:rPr>
                <w:rFonts w:ascii="Times New Roman" w:hAnsi="Times New Roman"/>
                <w:b/>
                <w:bCs/>
                <w:color w:val="auto"/>
                <w:sz w:val="21"/>
                <w:szCs w:val="21"/>
              </w:rPr>
              <w:t xml:space="preserve">  地下水环境现状监测</w:t>
            </w:r>
            <w:r>
              <w:rPr>
                <w:rFonts w:hint="eastAsia" w:ascii="Times New Roman" w:hAnsi="Times New Roman"/>
                <w:b/>
                <w:bCs/>
                <w:color w:val="auto"/>
                <w:sz w:val="21"/>
                <w:szCs w:val="21"/>
              </w:rPr>
              <w:t>结果表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1100"/>
              <w:gridCol w:w="1101"/>
              <w:gridCol w:w="1100"/>
              <w:gridCol w:w="1100"/>
              <w:gridCol w:w="1105"/>
              <w:gridCol w:w="13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Merge w:val="restart"/>
                  <w:shd w:val="clear" w:color="auto" w:fill="DCE6F2" w:themeFill="accent1" w:themeFillTint="32"/>
                  <w:noWrap w:val="0"/>
                  <w:vAlign w:val="center"/>
                </w:tcPr>
                <w:p>
                  <w:pPr>
                    <w:pStyle w:val="16"/>
                    <w:snapToGrid w:val="0"/>
                    <w:spacing w:line="240" w:lineRule="auto"/>
                    <w:jc w:val="center"/>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检测项目</w:t>
                  </w:r>
                </w:p>
              </w:tc>
              <w:tc>
                <w:tcPr>
                  <w:tcW w:w="3374" w:type="pct"/>
                  <w:gridSpan w:val="5"/>
                  <w:shd w:val="clear" w:color="auto" w:fill="DCE6F2" w:themeFill="accent1" w:themeFillTint="32"/>
                  <w:noWrap w:val="0"/>
                  <w:vAlign w:val="center"/>
                </w:tcPr>
                <w:p>
                  <w:pPr>
                    <w:pStyle w:val="16"/>
                    <w:snapToGrid w:val="0"/>
                    <w:spacing w:line="240" w:lineRule="auto"/>
                    <w:jc w:val="center"/>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检测结果</w:t>
                  </w:r>
                </w:p>
              </w:tc>
              <w:tc>
                <w:tcPr>
                  <w:tcW w:w="689" w:type="pct"/>
                  <w:vMerge w:val="restart"/>
                  <w:shd w:val="clear" w:color="auto" w:fill="DCE6F2" w:themeFill="accent1" w:themeFillTint="32"/>
                  <w:noWrap w:val="0"/>
                  <w:vAlign w:val="center"/>
                </w:tcPr>
                <w:p>
                  <w:pPr>
                    <w:pStyle w:val="16"/>
                    <w:snapToGrid w:val="0"/>
                    <w:spacing w:line="240" w:lineRule="auto"/>
                    <w:jc w:val="center"/>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Merge w:val="continue"/>
                  <w:noWrap w:val="0"/>
                  <w:vAlign w:val="center"/>
                </w:tcPr>
                <w:p>
                  <w:pPr>
                    <w:pStyle w:val="16"/>
                    <w:snapToGrid w:val="0"/>
                    <w:spacing w:line="240" w:lineRule="auto"/>
                    <w:jc w:val="center"/>
                    <w:rPr>
                      <w:rFonts w:ascii="Times New Roman" w:hAnsi="Times New Roman" w:cs="Times New Roman"/>
                      <w:bCs/>
                      <w:color w:val="auto"/>
                      <w:sz w:val="21"/>
                      <w:szCs w:val="21"/>
                    </w:rPr>
                  </w:pPr>
                </w:p>
              </w:tc>
              <w:tc>
                <w:tcPr>
                  <w:tcW w:w="1349" w:type="pct"/>
                  <w:gridSpan w:val="2"/>
                  <w:shd w:val="clear" w:color="auto" w:fill="DCE6F2" w:themeFill="accent1" w:themeFillTint="32"/>
                  <w:noWrap w:val="0"/>
                  <w:vAlign w:val="center"/>
                </w:tcPr>
                <w:p>
                  <w:pPr>
                    <w:pStyle w:val="16"/>
                    <w:snapToGrid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08月13日</w:t>
                  </w:r>
                </w:p>
              </w:tc>
              <w:tc>
                <w:tcPr>
                  <w:tcW w:w="2024" w:type="pct"/>
                  <w:gridSpan w:val="3"/>
                  <w:shd w:val="clear" w:color="auto" w:fill="DCE6F2" w:themeFill="accent1" w:themeFillTint="32"/>
                  <w:noWrap w:val="0"/>
                  <w:vAlign w:val="center"/>
                </w:tcPr>
                <w:p>
                  <w:pPr>
                    <w:pStyle w:val="16"/>
                    <w:snapToGrid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09月09日</w:t>
                  </w:r>
                </w:p>
              </w:tc>
              <w:tc>
                <w:tcPr>
                  <w:tcW w:w="689" w:type="pct"/>
                  <w:vMerge w:val="continue"/>
                  <w:noWrap w:val="0"/>
                  <w:vAlign w:val="center"/>
                </w:tcPr>
                <w:p>
                  <w:pPr>
                    <w:pStyle w:val="16"/>
                    <w:snapToGrid w:val="0"/>
                    <w:spacing w:line="240" w:lineRule="auto"/>
                    <w:jc w:val="center"/>
                    <w:rPr>
                      <w:rFonts w:ascii="Times New Roman" w:hAnsi="Times New Roman"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vMerge w:val="continue"/>
                  <w:noWrap w:val="0"/>
                  <w:vAlign w:val="center"/>
                </w:tcPr>
                <w:p>
                  <w:pPr>
                    <w:pStyle w:val="87"/>
                    <w:jc w:val="center"/>
                    <w:rPr>
                      <w:rFonts w:ascii="Times New Roman" w:cs="Times New Roman"/>
                      <w:color w:val="auto"/>
                      <w:sz w:val="21"/>
                      <w:szCs w:val="21"/>
                    </w:rPr>
                  </w:pPr>
                </w:p>
              </w:tc>
              <w:tc>
                <w:tcPr>
                  <w:tcW w:w="674"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厂区内南侧WX1</w:t>
                  </w:r>
                </w:p>
              </w:tc>
              <w:tc>
                <w:tcPr>
                  <w:tcW w:w="674"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厂区外北侧WX2</w:t>
                  </w:r>
                </w:p>
              </w:tc>
              <w:tc>
                <w:tcPr>
                  <w:tcW w:w="674"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项目东南侧居民处WX3</w:t>
                  </w:r>
                </w:p>
              </w:tc>
              <w:tc>
                <w:tcPr>
                  <w:tcW w:w="674"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项目西侧居民处WX4</w:t>
                  </w:r>
                </w:p>
              </w:tc>
              <w:tc>
                <w:tcPr>
                  <w:tcW w:w="674"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项目西侧居民处WX5</w:t>
                  </w:r>
                </w:p>
              </w:tc>
              <w:tc>
                <w:tcPr>
                  <w:tcW w:w="689" w:type="pct"/>
                  <w:vMerge w:val="continue"/>
                  <w:noWrap w:val="0"/>
                  <w:vAlign w:val="center"/>
                </w:tcPr>
                <w:p>
                  <w:pPr>
                    <w:adjustRightInd w:val="0"/>
                    <w:snapToGrid w:val="0"/>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kern w:val="0"/>
                      <w:sz w:val="21"/>
                      <w:szCs w:val="21"/>
                    </w:rPr>
                    <w:t>硫酸盐</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128</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35</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54</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35</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121</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87"/>
                    <w:jc w:val="center"/>
                    <w:rPr>
                      <w:rFonts w:ascii="Times New Roman" w:cs="Times New Roman"/>
                      <w:color w:val="auto"/>
                      <w:sz w:val="21"/>
                      <w:szCs w:val="21"/>
                    </w:rPr>
                  </w:pPr>
                  <w:r>
                    <w:rPr>
                      <w:rFonts w:ascii="Times New Roman" w:cs="Times New Roman"/>
                      <w:color w:val="auto"/>
                      <w:sz w:val="21"/>
                      <w:szCs w:val="21"/>
                    </w:rPr>
                    <w:t>氯化物</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59</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11</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15</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31</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铁</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0.21</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锰</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0.01</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0.08</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87"/>
                    <w:jc w:val="center"/>
                    <w:rPr>
                      <w:rFonts w:ascii="Times New Roman" w:cs="Times New Roman"/>
                      <w:color w:val="auto"/>
                      <w:sz w:val="21"/>
                      <w:szCs w:val="21"/>
                    </w:rPr>
                  </w:pPr>
                  <w:r>
                    <w:rPr>
                      <w:rFonts w:ascii="Times New Roman" w:cs="Times New Roman"/>
                      <w:color w:val="auto"/>
                      <w:sz w:val="21"/>
                      <w:szCs w:val="21"/>
                      <w:lang w:bidi="ar"/>
                    </w:rPr>
                    <w:t>钾</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22.3</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14.6</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4.13</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4.09</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2.86</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25"/>
                    <w:snapToGrid w:val="0"/>
                    <w:spacing w:before="0" w:beforeAutospacing="0" w:after="0" w:afterAutospacing="0" w:line="240" w:lineRule="auto"/>
                    <w:jc w:val="center"/>
                    <w:rPr>
                      <w:rFonts w:ascii="Times New Roman" w:hAnsi="Times New Roman"/>
                      <w:color w:val="auto"/>
                      <w:sz w:val="21"/>
                      <w:szCs w:val="21"/>
                    </w:rPr>
                  </w:pPr>
                  <w:r>
                    <w:rPr>
                      <w:rFonts w:ascii="Times New Roman" w:hAnsi="Times New Roman"/>
                      <w:color w:val="auto"/>
                      <w:sz w:val="21"/>
                      <w:szCs w:val="21"/>
                      <w:lang w:bidi="ar"/>
                    </w:rPr>
                    <w:t>钠</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30.2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22.0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36.2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24.2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32.9</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87"/>
                    <w:jc w:val="center"/>
                    <w:rPr>
                      <w:rFonts w:ascii="Times New Roman" w:cs="Times New Roman"/>
                      <w:color w:val="auto"/>
                      <w:sz w:val="21"/>
                      <w:szCs w:val="21"/>
                    </w:rPr>
                  </w:pPr>
                  <w:r>
                    <w:rPr>
                      <w:rFonts w:ascii="Times New Roman" w:cs="Times New Roman"/>
                      <w:color w:val="auto"/>
                      <w:sz w:val="21"/>
                      <w:szCs w:val="21"/>
                    </w:rPr>
                    <w:t>Cl</w:t>
                  </w:r>
                  <w:r>
                    <w:rPr>
                      <w:rFonts w:ascii="Times New Roman" w:cs="Times New Roman"/>
                      <w:color w:val="auto"/>
                      <w:sz w:val="21"/>
                      <w:szCs w:val="21"/>
                      <w:vertAlign w:val="superscript"/>
                    </w:rPr>
                    <w:t>-</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58.1</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9.74</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18.9</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11.1</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26.4</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25"/>
                    <w:snapToGrid w:val="0"/>
                    <w:spacing w:before="0" w:beforeAutospacing="0" w:after="0" w:afterAutospacing="0" w:line="240" w:lineRule="auto"/>
                    <w:jc w:val="center"/>
                    <w:rPr>
                      <w:rFonts w:ascii="Times New Roman" w:hAnsi="Times New Roman"/>
                      <w:color w:val="auto"/>
                      <w:kern w:val="2"/>
                      <w:sz w:val="21"/>
                      <w:szCs w:val="21"/>
                    </w:rPr>
                  </w:pPr>
                  <w:r>
                    <w:rPr>
                      <w:rFonts w:ascii="Times New Roman" w:hAnsi="Times New Roman"/>
                      <w:color w:val="auto"/>
                      <w:sz w:val="21"/>
                      <w:szCs w:val="21"/>
                    </w:rPr>
                    <w:t>SO</w:t>
                  </w:r>
                  <w:r>
                    <w:rPr>
                      <w:rFonts w:ascii="Times New Roman" w:hAnsi="Times New Roman"/>
                      <w:color w:val="auto"/>
                      <w:sz w:val="21"/>
                      <w:szCs w:val="21"/>
                      <w:vertAlign w:val="subscript"/>
                    </w:rPr>
                    <w:t>4</w:t>
                  </w:r>
                  <w:r>
                    <w:rPr>
                      <w:rFonts w:ascii="Times New Roman" w:hAnsi="Times New Roman"/>
                      <w:color w:val="auto"/>
                      <w:sz w:val="21"/>
                      <w:szCs w:val="21"/>
                      <w:vertAlign w:val="superscript"/>
                    </w:rPr>
                    <w:t>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128</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32.0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51.5</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30.6</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107</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25"/>
                    <w:snapToGrid w:val="0"/>
                    <w:spacing w:before="0" w:beforeAutospacing="0" w:after="0" w:afterAutospacing="0" w:line="240" w:lineRule="auto"/>
                    <w:jc w:val="center"/>
                    <w:rPr>
                      <w:rFonts w:ascii="Times New Roman" w:hAnsi="Times New Roman"/>
                      <w:color w:val="auto"/>
                      <w:kern w:val="2"/>
                      <w:sz w:val="21"/>
                      <w:szCs w:val="21"/>
                    </w:rPr>
                  </w:pPr>
                  <w:r>
                    <w:rPr>
                      <w:rFonts w:ascii="Times New Roman" w:hAnsi="Times New Roman"/>
                      <w:color w:val="auto"/>
                      <w:sz w:val="21"/>
                      <w:szCs w:val="21"/>
                    </w:rPr>
                    <w:t>钙</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47.2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30.8</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93.4</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60.0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101</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25"/>
                    <w:snapToGrid w:val="0"/>
                    <w:spacing w:before="0" w:beforeAutospacing="0" w:after="0" w:afterAutospacing="0" w:line="240" w:lineRule="auto"/>
                    <w:jc w:val="center"/>
                    <w:rPr>
                      <w:rFonts w:ascii="Times New Roman" w:hAnsi="Times New Roman"/>
                      <w:color w:val="auto"/>
                      <w:kern w:val="2"/>
                      <w:sz w:val="21"/>
                      <w:szCs w:val="21"/>
                    </w:rPr>
                  </w:pPr>
                  <w:r>
                    <w:rPr>
                      <w:rFonts w:ascii="Times New Roman" w:hAnsi="Times New Roman"/>
                      <w:color w:val="auto"/>
                      <w:sz w:val="21"/>
                      <w:szCs w:val="21"/>
                    </w:rPr>
                    <w:t>镁</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35.6</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11.1</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16.9</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10.7</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22.8</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87"/>
                    <w:jc w:val="center"/>
                    <w:rPr>
                      <w:rFonts w:ascii="Times New Roman" w:cs="Times New Roman"/>
                      <w:color w:val="auto"/>
                      <w:kern w:val="2"/>
                      <w:sz w:val="21"/>
                      <w:szCs w:val="21"/>
                    </w:rPr>
                  </w:pPr>
                  <w:r>
                    <w:rPr>
                      <w:rFonts w:ascii="Times New Roman" w:cs="Times New Roman"/>
                      <w:color w:val="auto"/>
                      <w:sz w:val="21"/>
                      <w:szCs w:val="21"/>
                    </w:rPr>
                    <w:t>重碳酸根</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171</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139</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322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260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300</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25"/>
                    <w:snapToGrid w:val="0"/>
                    <w:spacing w:before="0" w:beforeAutospacing="0" w:after="0" w:afterAutospacing="0" w:line="240" w:lineRule="auto"/>
                    <w:jc w:val="center"/>
                    <w:rPr>
                      <w:rFonts w:ascii="Times New Roman" w:hAnsi="Times New Roman"/>
                      <w:color w:val="auto"/>
                      <w:kern w:val="2"/>
                      <w:sz w:val="21"/>
                      <w:szCs w:val="21"/>
                    </w:rPr>
                  </w:pPr>
                  <w:r>
                    <w:rPr>
                      <w:rFonts w:ascii="Times New Roman" w:hAnsi="Times New Roman"/>
                      <w:color w:val="auto"/>
                      <w:sz w:val="21"/>
                      <w:szCs w:val="21"/>
                    </w:rPr>
                    <w:t>碳酸根</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87"/>
                    <w:jc w:val="center"/>
                    <w:rPr>
                      <w:rFonts w:ascii="Times New Roman" w:cs="Times New Roman"/>
                      <w:color w:val="auto"/>
                      <w:kern w:val="2"/>
                      <w:sz w:val="21"/>
                      <w:szCs w:val="21"/>
                    </w:rPr>
                  </w:pPr>
                  <w:r>
                    <w:rPr>
                      <w:rFonts w:ascii="Times New Roman" w:cs="Times New Roman"/>
                      <w:color w:val="auto"/>
                      <w:sz w:val="21"/>
                      <w:szCs w:val="21"/>
                    </w:rPr>
                    <w:t>pH</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7.24</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7.29</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7.41</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7.52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7.44</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25"/>
                    <w:snapToGrid w:val="0"/>
                    <w:spacing w:before="0" w:beforeAutospacing="0" w:after="0" w:afterAutospacing="0" w:line="240" w:lineRule="auto"/>
                    <w:jc w:val="center"/>
                    <w:rPr>
                      <w:rFonts w:ascii="Times New Roman" w:hAnsi="Times New Roman"/>
                      <w:color w:val="auto"/>
                      <w:kern w:val="2"/>
                      <w:sz w:val="21"/>
                      <w:szCs w:val="21"/>
                    </w:rPr>
                  </w:pPr>
                  <w:r>
                    <w:rPr>
                      <w:rFonts w:ascii="Times New Roman" w:hAnsi="Times New Roman"/>
                      <w:color w:val="auto"/>
                      <w:kern w:val="2"/>
                      <w:sz w:val="21"/>
                      <w:szCs w:val="21"/>
                    </w:rPr>
                    <w:t>氨氮</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0.414</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0.037</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0.089</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0.441</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0.028</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87"/>
                    <w:jc w:val="center"/>
                    <w:rPr>
                      <w:rFonts w:ascii="Times New Roman" w:cs="Times New Roman"/>
                      <w:color w:val="auto"/>
                      <w:kern w:val="2"/>
                      <w:sz w:val="21"/>
                      <w:szCs w:val="21"/>
                    </w:rPr>
                  </w:pPr>
                  <w:r>
                    <w:rPr>
                      <w:rFonts w:ascii="Times New Roman" w:cs="Times New Roman"/>
                      <w:color w:val="auto"/>
                      <w:sz w:val="21"/>
                      <w:szCs w:val="21"/>
                    </w:rPr>
                    <w:t>亚硝酸盐氮</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0.684</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0.016</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87"/>
                    <w:jc w:val="center"/>
                    <w:rPr>
                      <w:rFonts w:ascii="Times New Roman" w:cs="Times New Roman"/>
                      <w:color w:val="auto"/>
                      <w:kern w:val="2"/>
                      <w:sz w:val="21"/>
                      <w:szCs w:val="21"/>
                    </w:rPr>
                  </w:pPr>
                  <w:r>
                    <w:rPr>
                      <w:rFonts w:ascii="Times New Roman" w:cs="Times New Roman"/>
                      <w:color w:val="auto"/>
                      <w:kern w:val="2"/>
                      <w:sz w:val="21"/>
                      <w:szCs w:val="21"/>
                    </w:rPr>
                    <w:t>硝酸盐氮</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15.1</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14.8</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15.0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3.76</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18.0</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87"/>
                    <w:jc w:val="center"/>
                    <w:rPr>
                      <w:rFonts w:ascii="Times New Roman" w:cs="Times New Roman"/>
                      <w:color w:val="auto"/>
                      <w:kern w:val="2"/>
                      <w:sz w:val="21"/>
                      <w:szCs w:val="21"/>
                    </w:rPr>
                  </w:pPr>
                  <w:r>
                    <w:rPr>
                      <w:rFonts w:ascii="Times New Roman" w:cs="Times New Roman"/>
                      <w:color w:val="auto"/>
                      <w:sz w:val="21"/>
                      <w:szCs w:val="21"/>
                    </w:rPr>
                    <w:t>挥发酚</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砷</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汞</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87"/>
                    <w:jc w:val="center"/>
                    <w:rPr>
                      <w:rFonts w:ascii="Times New Roman" w:cs="Times New Roman"/>
                      <w:color w:val="auto"/>
                      <w:kern w:val="2"/>
                      <w:sz w:val="21"/>
                      <w:szCs w:val="21"/>
                    </w:rPr>
                  </w:pPr>
                  <w:r>
                    <w:rPr>
                      <w:rFonts w:ascii="Times New Roman" w:cs="Times New Roman"/>
                      <w:color w:val="auto"/>
                      <w:sz w:val="21"/>
                      <w:szCs w:val="21"/>
                    </w:rPr>
                    <w:t>氰化物</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六价铬</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kern w:val="0"/>
                      <w:sz w:val="21"/>
                      <w:szCs w:val="21"/>
                    </w:rPr>
                    <w:t>总硬度</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277</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126</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309</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199</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346</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铅</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2×10</w:t>
                  </w:r>
                  <w:r>
                    <w:rPr>
                      <w:rFonts w:ascii="Times New Roman" w:hAnsi="Times New Roman"/>
                      <w:bCs/>
                      <w:color w:val="auto"/>
                      <w:sz w:val="21"/>
                      <w:szCs w:val="21"/>
                      <w:vertAlign w:val="superscript"/>
                    </w:rPr>
                    <w:t>-3</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镉</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6×10</w:t>
                  </w:r>
                  <w:r>
                    <w:rPr>
                      <w:rFonts w:ascii="Times New Roman" w:hAnsi="Times New Roman"/>
                      <w:bCs/>
                      <w:color w:val="auto"/>
                      <w:sz w:val="21"/>
                      <w:szCs w:val="21"/>
                      <w:vertAlign w:val="superscript"/>
                    </w:rPr>
                    <w:t>-4</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7×10</w:t>
                  </w:r>
                  <w:r>
                    <w:rPr>
                      <w:rFonts w:ascii="Times New Roman" w:hAnsi="Times New Roman"/>
                      <w:bCs/>
                      <w:color w:val="auto"/>
                      <w:sz w:val="21"/>
                      <w:szCs w:val="21"/>
                      <w:vertAlign w:val="superscript"/>
                    </w:rPr>
                    <w:t>-4</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9×10</w:t>
                  </w:r>
                  <w:r>
                    <w:rPr>
                      <w:rFonts w:ascii="Times New Roman" w:hAnsi="Times New Roman"/>
                      <w:bCs/>
                      <w:color w:val="auto"/>
                      <w:sz w:val="21"/>
                      <w:szCs w:val="21"/>
                      <w:vertAlign w:val="superscript"/>
                    </w:rPr>
                    <w:t>-4</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溶解性总固体</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440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218</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402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281</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456</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氟化物</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0.47</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0.23</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0.09</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0.25</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25"/>
                    <w:snapToGrid w:val="0"/>
                    <w:spacing w:before="0" w:beforeAutospacing="0" w:after="0" w:afterAutospacing="0" w:line="240" w:lineRule="auto"/>
                    <w:jc w:val="center"/>
                    <w:rPr>
                      <w:rFonts w:ascii="Times New Roman" w:hAnsi="Times New Roman"/>
                      <w:color w:val="auto"/>
                      <w:sz w:val="21"/>
                      <w:szCs w:val="21"/>
                    </w:rPr>
                  </w:pPr>
                  <w:r>
                    <w:rPr>
                      <w:rFonts w:ascii="Times New Roman" w:hAnsi="Times New Roman"/>
                      <w:color w:val="auto"/>
                      <w:sz w:val="21"/>
                      <w:szCs w:val="21"/>
                    </w:rPr>
                    <w:t>细菌总数</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highlight w:val="red"/>
                    </w:rPr>
                  </w:pPr>
                  <w:r>
                    <w:rPr>
                      <w:rFonts w:ascii="Times New Roman" w:hAnsi="Times New Roman"/>
                      <w:bCs/>
                      <w:color w:val="auto"/>
                      <w:sz w:val="21"/>
                      <w:szCs w:val="21"/>
                    </w:rPr>
                    <w:t>59</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highlight w:val="red"/>
                    </w:rPr>
                  </w:pPr>
                  <w:r>
                    <w:rPr>
                      <w:rFonts w:ascii="Times New Roman" w:hAnsi="Times New Roman"/>
                      <w:bCs/>
                      <w:color w:val="auto"/>
                      <w:sz w:val="21"/>
                      <w:szCs w:val="21"/>
                    </w:rPr>
                    <w:t>83</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90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76</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44</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CFU/mL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25"/>
                    <w:snapToGrid w:val="0"/>
                    <w:spacing w:before="0" w:beforeAutospacing="0" w:after="0" w:afterAutospacing="0" w:line="240" w:lineRule="auto"/>
                    <w:jc w:val="center"/>
                    <w:rPr>
                      <w:rFonts w:ascii="Times New Roman" w:hAnsi="Times New Roman"/>
                      <w:color w:val="auto"/>
                      <w:sz w:val="21"/>
                      <w:szCs w:val="21"/>
                    </w:rPr>
                  </w:pPr>
                  <w:r>
                    <w:rPr>
                      <w:rFonts w:ascii="Times New Roman" w:hAnsi="Times New Roman"/>
                      <w:color w:val="auto"/>
                      <w:sz w:val="21"/>
                      <w:szCs w:val="21"/>
                    </w:rPr>
                    <w:t>石油类</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0.02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ND</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0.02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0.02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0.03</w:t>
                  </w:r>
                </w:p>
              </w:tc>
              <w:tc>
                <w:tcPr>
                  <w:tcW w:w="689"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耗氧量（COD</w:t>
                  </w:r>
                  <w:r>
                    <w:rPr>
                      <w:rFonts w:ascii="Times New Roman" w:hAnsi="Times New Roman"/>
                      <w:color w:val="auto"/>
                      <w:sz w:val="21"/>
                      <w:szCs w:val="21"/>
                      <w:vertAlign w:val="subscript"/>
                    </w:rPr>
                    <w:t>Mn</w:t>
                  </w:r>
                  <w:r>
                    <w:rPr>
                      <w:rFonts w:ascii="Times New Roman" w:hAnsi="Times New Roman"/>
                      <w:color w:val="auto"/>
                      <w:sz w:val="21"/>
                      <w:szCs w:val="21"/>
                    </w:rPr>
                    <w:t>法，以O</w:t>
                  </w:r>
                  <w:r>
                    <w:rPr>
                      <w:rFonts w:ascii="Times New Roman" w:hAnsi="Times New Roman"/>
                      <w:color w:val="auto"/>
                      <w:sz w:val="21"/>
                      <w:szCs w:val="21"/>
                      <w:vertAlign w:val="subscript"/>
                    </w:rPr>
                    <w:t>2</w:t>
                  </w:r>
                  <w:r>
                    <w:rPr>
                      <w:rFonts w:ascii="Times New Roman" w:hAnsi="Times New Roman"/>
                      <w:color w:val="auto"/>
                      <w:sz w:val="21"/>
                      <w:szCs w:val="21"/>
                    </w:rPr>
                    <w:t>计）</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2.40</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2.16</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2.86</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2.92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1.27</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noWrap w:val="0"/>
                  <w:vAlign w:val="center"/>
                </w:tcPr>
                <w:p>
                  <w:pPr>
                    <w:pStyle w:val="87"/>
                    <w:jc w:val="center"/>
                    <w:rPr>
                      <w:rFonts w:ascii="Times New Roman" w:cs="Times New Roman"/>
                      <w:color w:val="auto"/>
                      <w:sz w:val="21"/>
                      <w:szCs w:val="21"/>
                    </w:rPr>
                  </w:pPr>
                  <w:r>
                    <w:rPr>
                      <w:rFonts w:ascii="Times New Roman" w:cs="Times New Roman"/>
                      <w:color w:val="auto"/>
                      <w:sz w:val="21"/>
                      <w:szCs w:val="21"/>
                    </w:rPr>
                    <w:t>总大肠菌群</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highlight w:val="red"/>
                    </w:rPr>
                  </w:pPr>
                  <w:r>
                    <w:rPr>
                      <w:rFonts w:ascii="Times New Roman" w:hAnsi="Times New Roman"/>
                      <w:bCs/>
                      <w:color w:val="auto"/>
                      <w:sz w:val="21"/>
                      <w:szCs w:val="21"/>
                    </w:rPr>
                    <w:t>＜2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highlight w:val="red"/>
                    </w:rPr>
                  </w:pPr>
                  <w:r>
                    <w:rPr>
                      <w:rFonts w:ascii="Times New Roman" w:hAnsi="Times New Roman"/>
                      <w:bCs/>
                      <w:color w:val="auto"/>
                      <w:sz w:val="21"/>
                      <w:szCs w:val="21"/>
                    </w:rPr>
                    <w:t>＜2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w:t>
                  </w:r>
                </w:p>
              </w:tc>
              <w:tc>
                <w:tcPr>
                  <w:tcW w:w="674" w:type="pct"/>
                  <w:noWrap w:val="0"/>
                  <w:vAlign w:val="center"/>
                </w:tcPr>
                <w:p>
                  <w:pPr>
                    <w:adjustRightInd w:val="0"/>
                    <w:snapToGrid w:val="0"/>
                    <w:spacing w:line="240" w:lineRule="auto"/>
                    <w:jc w:val="center"/>
                    <w:rPr>
                      <w:rFonts w:ascii="Times New Roman" w:hAnsi="Times New Roman"/>
                      <w:bCs/>
                      <w:color w:val="auto"/>
                      <w:sz w:val="21"/>
                      <w:szCs w:val="21"/>
                    </w:rPr>
                  </w:pPr>
                  <w:r>
                    <w:rPr>
                      <w:rFonts w:ascii="Times New Roman" w:hAnsi="Times New Roman"/>
                      <w:bCs/>
                      <w:color w:val="auto"/>
                      <w:sz w:val="21"/>
                      <w:szCs w:val="21"/>
                    </w:rPr>
                    <w:t>＜2</w:t>
                  </w:r>
                </w:p>
              </w:tc>
              <w:tc>
                <w:tcPr>
                  <w:tcW w:w="689"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MPN/100mL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pPr>
                    <w:adjustRightInd w:val="0"/>
                    <w:snapToGrid w:val="0"/>
                    <w:spacing w:line="240" w:lineRule="auto"/>
                    <w:rPr>
                      <w:rFonts w:ascii="Times New Roman" w:hAnsi="Times New Roman"/>
                      <w:color w:val="auto"/>
                      <w:sz w:val="21"/>
                      <w:szCs w:val="21"/>
                    </w:rPr>
                  </w:pPr>
                  <w:r>
                    <w:rPr>
                      <w:rFonts w:ascii="Times New Roman" w:hAnsi="Times New Roman"/>
                      <w:color w:val="auto"/>
                      <w:sz w:val="21"/>
                      <w:szCs w:val="21"/>
                    </w:rPr>
                    <w:t>备注：1、ND表示检测结果低于方法检出限或未检出。</w:t>
                  </w:r>
                </w:p>
                <w:p>
                  <w:pPr>
                    <w:pStyle w:val="87"/>
                    <w:spacing w:line="240" w:lineRule="auto"/>
                    <w:ind w:firstLine="630" w:firstLineChars="300"/>
                    <w:jc w:val="both"/>
                    <w:rPr>
                      <w:rFonts w:ascii="Times New Roman" w:cs="Times New Roman"/>
                      <w:color w:val="auto"/>
                      <w:sz w:val="21"/>
                      <w:szCs w:val="21"/>
                    </w:rPr>
                  </w:pPr>
                  <w:r>
                    <w:rPr>
                      <w:rFonts w:ascii="Times New Roman" w:cs="Times New Roman"/>
                      <w:color w:val="auto"/>
                      <w:sz w:val="21"/>
                      <w:szCs w:val="21"/>
                    </w:rPr>
                    <w:t>2、2020年09月09日检测期间点位WX3地下水水位3.6m、点位WX4地下水水位2.4m、点位WX5地下水水位2.7m、点位WX6地下水水位2.2m、点位WX7地下水水位2.5m、点位WX8地下水水位1.8m、点位WX9地下水水位2.1m、点位WX10地下水水位1.5m、点位WX11地下水水位1.8m、点位WX12地下水2.2m水位。</w:t>
                  </w:r>
                </w:p>
              </w:tc>
            </w:tr>
          </w:tbl>
          <w:p>
            <w:pPr>
              <w:adjustRightInd w:val="0"/>
              <w:ind w:firstLine="482" w:firstLineChars="200"/>
              <w:rPr>
                <w:rFonts w:ascii="Times New Roman" w:hAnsi="Times New Roman"/>
                <w:color w:val="auto"/>
                <w:sz w:val="24"/>
                <w:szCs w:val="24"/>
              </w:rPr>
            </w:pPr>
            <w:r>
              <w:rPr>
                <w:rFonts w:hint="eastAsia" w:ascii="Times New Roman" w:hAnsi="Times New Roman"/>
                <w:b/>
                <w:bCs/>
                <w:color w:val="auto"/>
                <w:sz w:val="24"/>
                <w:szCs w:val="24"/>
              </w:rPr>
              <w:t>4、监测结果评价分析</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rPr>
              <w:t>3</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9</w:t>
            </w:r>
            <w:r>
              <w:rPr>
                <w:rFonts w:ascii="Times New Roman" w:hAnsi="Times New Roman"/>
                <w:b/>
                <w:bCs/>
                <w:color w:val="auto"/>
                <w:sz w:val="21"/>
                <w:szCs w:val="21"/>
              </w:rPr>
              <w:t xml:space="preserve">  地下水监测结果分析</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2263"/>
              <w:gridCol w:w="1641"/>
              <w:gridCol w:w="25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148" w:type="pct"/>
                  <w:shd w:val="clear" w:color="auto" w:fill="DCE6F2" w:themeFill="accent1" w:themeFillTint="32"/>
                  <w:noWrap w:val="0"/>
                  <w:vAlign w:val="center"/>
                </w:tcPr>
                <w:p>
                  <w:pPr>
                    <w:spacing w:line="240" w:lineRule="auto"/>
                    <w:jc w:val="center"/>
                    <w:rPr>
                      <w:rFonts w:ascii="Times New Roman" w:hAnsi="Times New Roman"/>
                      <w:b/>
                      <w:bCs/>
                      <w:color w:val="auto"/>
                      <w:spacing w:val="-2"/>
                      <w:sz w:val="21"/>
                      <w:szCs w:val="21"/>
                    </w:rPr>
                  </w:pPr>
                  <w:r>
                    <w:rPr>
                      <w:rFonts w:ascii="Times New Roman" w:hAnsi="Times New Roman"/>
                      <w:b/>
                      <w:bCs/>
                      <w:color w:val="auto"/>
                      <w:spacing w:val="-2"/>
                      <w:sz w:val="21"/>
                      <w:szCs w:val="21"/>
                    </w:rPr>
                    <w:t>项目</w:t>
                  </w:r>
                </w:p>
              </w:tc>
              <w:tc>
                <w:tcPr>
                  <w:tcW w:w="1350" w:type="pct"/>
                  <w:shd w:val="clear" w:color="auto" w:fill="DCE6F2" w:themeFill="accent1" w:themeFillTint="32"/>
                  <w:noWrap w:val="0"/>
                  <w:vAlign w:val="center"/>
                </w:tcPr>
                <w:p>
                  <w:pPr>
                    <w:spacing w:line="240" w:lineRule="auto"/>
                    <w:jc w:val="center"/>
                    <w:rPr>
                      <w:rFonts w:ascii="Times New Roman" w:hAnsi="Times New Roman"/>
                      <w:b/>
                      <w:bCs/>
                      <w:color w:val="auto"/>
                      <w:spacing w:val="-2"/>
                      <w:sz w:val="21"/>
                      <w:szCs w:val="21"/>
                    </w:rPr>
                  </w:pPr>
                  <w:r>
                    <w:rPr>
                      <w:rFonts w:ascii="Times New Roman" w:hAnsi="Times New Roman"/>
                      <w:b/>
                      <w:bCs/>
                      <w:color w:val="auto"/>
                      <w:spacing w:val="-2"/>
                      <w:sz w:val="21"/>
                      <w:szCs w:val="21"/>
                    </w:rPr>
                    <w:t>范围</w:t>
                  </w:r>
                </w:p>
              </w:tc>
              <w:tc>
                <w:tcPr>
                  <w:tcW w:w="979" w:type="pct"/>
                  <w:shd w:val="clear" w:color="auto" w:fill="DCE6F2" w:themeFill="accent1" w:themeFillTint="32"/>
                  <w:noWrap w:val="0"/>
                  <w:vAlign w:val="center"/>
                </w:tcPr>
                <w:p>
                  <w:pPr>
                    <w:spacing w:line="240" w:lineRule="auto"/>
                    <w:jc w:val="center"/>
                    <w:rPr>
                      <w:rFonts w:ascii="Times New Roman" w:hAnsi="Times New Roman"/>
                      <w:b/>
                      <w:bCs/>
                      <w:color w:val="auto"/>
                      <w:spacing w:val="-2"/>
                      <w:sz w:val="21"/>
                      <w:szCs w:val="21"/>
                    </w:rPr>
                  </w:pPr>
                  <w:r>
                    <w:rPr>
                      <w:rFonts w:ascii="Times New Roman" w:hAnsi="Times New Roman"/>
                      <w:b/>
                      <w:bCs/>
                      <w:color w:val="auto"/>
                      <w:spacing w:val="-2"/>
                      <w:sz w:val="21"/>
                      <w:szCs w:val="21"/>
                    </w:rPr>
                    <w:t>Pi</w:t>
                  </w:r>
                </w:p>
              </w:tc>
              <w:tc>
                <w:tcPr>
                  <w:tcW w:w="1521" w:type="pct"/>
                  <w:shd w:val="clear" w:color="auto" w:fill="DCE6F2" w:themeFill="accent1" w:themeFillTint="32"/>
                  <w:noWrap w:val="0"/>
                  <w:vAlign w:val="center"/>
                </w:tcPr>
                <w:p>
                  <w:pPr>
                    <w:spacing w:line="240" w:lineRule="auto"/>
                    <w:jc w:val="center"/>
                    <w:rPr>
                      <w:rFonts w:ascii="Times New Roman" w:hAnsi="Times New Roman"/>
                      <w:b/>
                      <w:bCs/>
                      <w:color w:val="auto"/>
                      <w:spacing w:val="-2"/>
                      <w:sz w:val="21"/>
                      <w:szCs w:val="21"/>
                    </w:rPr>
                  </w:pPr>
                  <w:r>
                    <w:rPr>
                      <w:rFonts w:ascii="Times New Roman" w:hAnsi="Times New Roman"/>
                      <w:b/>
                      <w:bCs/>
                      <w:color w:val="auto"/>
                      <w:spacing w:val="-2"/>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kern w:val="0"/>
                      <w:sz w:val="21"/>
                      <w:szCs w:val="21"/>
                    </w:rPr>
                    <w:t>硫酸盐</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 xml:space="preserve">35~128 </w:t>
                  </w:r>
                  <w:r>
                    <w:rPr>
                      <w:rFonts w:ascii="Times New Roman" w:hAnsi="Times New Roman"/>
                      <w:color w:val="auto"/>
                      <w:kern w:val="0"/>
                      <w:sz w:val="21"/>
                      <w:szCs w:val="21"/>
                    </w:rPr>
                    <w:t>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0.14~0.51</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≤250</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autoSpaceDE w:val="0"/>
                    <w:autoSpaceDN w:val="0"/>
                    <w:adjustRightIn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氯化物</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 xml:space="preserve">11~59 </w:t>
                  </w:r>
                  <w:r>
                    <w:rPr>
                      <w:rFonts w:ascii="Times New Roman" w:hAnsi="Times New Roman"/>
                      <w:color w:val="auto"/>
                      <w:kern w:val="0"/>
                      <w:sz w:val="21"/>
                      <w:szCs w:val="21"/>
                    </w:rPr>
                    <w:t>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0.04~0.24</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≤250</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铁</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 xml:space="preserve">ND~0.21 </w:t>
                  </w:r>
                  <w:r>
                    <w:rPr>
                      <w:rFonts w:ascii="Times New Roman" w:hAnsi="Times New Roman"/>
                      <w:color w:val="auto"/>
                      <w:kern w:val="0"/>
                      <w:sz w:val="21"/>
                      <w:szCs w:val="21"/>
                    </w:rPr>
                    <w:t>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≤0.7</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≤0.3</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锰</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 xml:space="preserve">ND~0.08 </w:t>
                  </w:r>
                  <w:r>
                    <w:rPr>
                      <w:rFonts w:ascii="Times New Roman" w:hAnsi="Times New Roman"/>
                      <w:color w:val="auto"/>
                      <w:kern w:val="0"/>
                      <w:sz w:val="21"/>
                      <w:szCs w:val="21"/>
                    </w:rPr>
                    <w:t>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≤0.8</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≤0.1</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autoSpaceDE w:val="0"/>
                    <w:autoSpaceDN w:val="0"/>
                    <w:adjustRightIn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pH</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7.24~7.52 无量纲</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0.16~0.35</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6.5~8.5 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氨氮</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0.028~0.441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0.06~0.88</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≤0.5</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autoSpaceDE w:val="0"/>
                    <w:autoSpaceDN w:val="0"/>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亚硝酸盐氮</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ND~0.684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≤0.68</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≤1.00</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autoSpaceDE w:val="0"/>
                    <w:autoSpaceDN w:val="0"/>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硝酸盐氮</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3.76~18.0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0.19~0.9</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≤20</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8" w:type="pct"/>
                  <w:noWrap w:val="0"/>
                  <w:vAlign w:val="center"/>
                </w:tcPr>
                <w:p>
                  <w:pPr>
                    <w:autoSpaceDE w:val="0"/>
                    <w:autoSpaceDN w:val="0"/>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挥发酚</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ND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≤0.002</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砷</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ND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≤0.01</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汞</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ND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w:t>
                  </w:r>
                </w:p>
              </w:tc>
              <w:tc>
                <w:tcPr>
                  <w:tcW w:w="152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≤0.001</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autoSpaceDE w:val="0"/>
                    <w:autoSpaceDN w:val="0"/>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氰化物</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ND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w:t>
                  </w:r>
                </w:p>
              </w:tc>
              <w:tc>
                <w:tcPr>
                  <w:tcW w:w="152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≤0.05</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六价铬</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ND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w:t>
                  </w:r>
                </w:p>
              </w:tc>
              <w:tc>
                <w:tcPr>
                  <w:tcW w:w="152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≤0.05</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kern w:val="0"/>
                      <w:sz w:val="21"/>
                      <w:szCs w:val="21"/>
                    </w:rPr>
                    <w:t>总硬度</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126~346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0.28~0.77</w:t>
                  </w:r>
                </w:p>
              </w:tc>
              <w:tc>
                <w:tcPr>
                  <w:tcW w:w="152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≤450</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铅</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ND~2</w:t>
                  </w:r>
                  <w:r>
                    <w:rPr>
                      <w:rFonts w:ascii="Times New Roman" w:hAnsi="Times New Roman"/>
                      <w:bCs/>
                      <w:color w:val="auto"/>
                      <w:sz w:val="21"/>
                      <w:szCs w:val="21"/>
                    </w:rPr>
                    <w:t>×10</w:t>
                  </w:r>
                  <w:r>
                    <w:rPr>
                      <w:rFonts w:ascii="Times New Roman" w:hAnsi="Times New Roman"/>
                      <w:bCs/>
                      <w:color w:val="auto"/>
                      <w:sz w:val="21"/>
                      <w:szCs w:val="21"/>
                      <w:vertAlign w:val="superscript"/>
                    </w:rPr>
                    <w:t>-3</w:t>
                  </w:r>
                  <w:r>
                    <w:rPr>
                      <w:rFonts w:ascii="Times New Roman" w:hAnsi="Times New Roman"/>
                      <w:color w:val="auto"/>
                      <w:kern w:val="0"/>
                      <w:sz w:val="21"/>
                      <w:szCs w:val="21"/>
                    </w:rPr>
                    <w:t xml:space="preserve">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≤0.2</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≤0.01</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镉</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ND~</w:t>
                  </w:r>
                  <w:r>
                    <w:rPr>
                      <w:rFonts w:ascii="Times New Roman" w:hAnsi="Times New Roman"/>
                      <w:bCs/>
                      <w:color w:val="auto"/>
                      <w:sz w:val="21"/>
                      <w:szCs w:val="21"/>
                    </w:rPr>
                    <w:t>9×10</w:t>
                  </w:r>
                  <w:r>
                    <w:rPr>
                      <w:rFonts w:ascii="Times New Roman" w:hAnsi="Times New Roman"/>
                      <w:bCs/>
                      <w:color w:val="auto"/>
                      <w:sz w:val="21"/>
                      <w:szCs w:val="21"/>
                      <w:vertAlign w:val="superscript"/>
                    </w:rPr>
                    <w:t>-4</w:t>
                  </w:r>
                  <w:r>
                    <w:rPr>
                      <w:rFonts w:ascii="Times New Roman" w:hAnsi="Times New Roman"/>
                      <w:color w:val="auto"/>
                      <w:kern w:val="0"/>
                      <w:sz w:val="21"/>
                      <w:szCs w:val="21"/>
                    </w:rPr>
                    <w:t xml:space="preserve">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≤0.18</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≤0.005</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溶解性总固体</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218~456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0.22~0.46</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≤1000</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氟化物</w:t>
                  </w:r>
                </w:p>
              </w:tc>
              <w:tc>
                <w:tcPr>
                  <w:tcW w:w="1350"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kern w:val="0"/>
                      <w:sz w:val="21"/>
                      <w:szCs w:val="21"/>
                    </w:rPr>
                    <w:t>ND~0.47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≤0.47</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≤1.0</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细菌总数</w:t>
                  </w:r>
                </w:p>
              </w:tc>
              <w:tc>
                <w:tcPr>
                  <w:tcW w:w="1350"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44~90 CFU/mL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0.44~0.9</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≤100</w:t>
                  </w:r>
                  <w:r>
                    <w:rPr>
                      <w:rFonts w:ascii="Times New Roman" w:hAnsi="Times New Roman"/>
                      <w:color w:val="auto"/>
                      <w:kern w:val="0"/>
                      <w:sz w:val="21"/>
                      <w:szCs w:val="21"/>
                    </w:rPr>
                    <w:t xml:space="preserve"> CFU/mL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石油类</w:t>
                  </w:r>
                </w:p>
              </w:tc>
              <w:tc>
                <w:tcPr>
                  <w:tcW w:w="1350" w:type="pct"/>
                  <w:noWrap w:val="0"/>
                  <w:vAlign w:val="center"/>
                </w:tcPr>
                <w:p>
                  <w:pPr>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ND~0.03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耗氧量（COD</w:t>
                  </w:r>
                  <w:r>
                    <w:rPr>
                      <w:rFonts w:ascii="Times New Roman" w:hAnsi="Times New Roman"/>
                      <w:color w:val="auto"/>
                      <w:sz w:val="21"/>
                      <w:szCs w:val="21"/>
                      <w:vertAlign w:val="subscript"/>
                    </w:rPr>
                    <w:t>Mn</w:t>
                  </w:r>
                  <w:r>
                    <w:rPr>
                      <w:rFonts w:ascii="Times New Roman" w:hAnsi="Times New Roman"/>
                      <w:color w:val="auto"/>
                      <w:sz w:val="21"/>
                      <w:szCs w:val="21"/>
                    </w:rPr>
                    <w:t>法，以O</w:t>
                  </w:r>
                  <w:r>
                    <w:rPr>
                      <w:rFonts w:ascii="Times New Roman" w:hAnsi="Times New Roman"/>
                      <w:color w:val="auto"/>
                      <w:sz w:val="21"/>
                      <w:szCs w:val="21"/>
                      <w:vertAlign w:val="subscript"/>
                    </w:rPr>
                    <w:t>2</w:t>
                  </w:r>
                  <w:r>
                    <w:rPr>
                      <w:rFonts w:ascii="Times New Roman" w:hAnsi="Times New Roman"/>
                      <w:color w:val="auto"/>
                      <w:sz w:val="21"/>
                      <w:szCs w:val="21"/>
                    </w:rPr>
                    <w:t>计）</w:t>
                  </w:r>
                </w:p>
              </w:tc>
              <w:tc>
                <w:tcPr>
                  <w:tcW w:w="1350"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kern w:val="0"/>
                      <w:sz w:val="21"/>
                      <w:szCs w:val="21"/>
                    </w:rPr>
                    <w:t>1.27~2.92 mg/L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pacing w:val="-2"/>
                      <w:sz w:val="21"/>
                      <w:szCs w:val="21"/>
                    </w:rPr>
                    <w:t>0.42~0.97</w:t>
                  </w:r>
                </w:p>
              </w:tc>
              <w:tc>
                <w:tcPr>
                  <w:tcW w:w="1521"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≤3.0</w:t>
                  </w:r>
                  <w:r>
                    <w:rPr>
                      <w:rFonts w:ascii="Times New Roman" w:hAnsi="Times New Roman"/>
                      <w:color w:val="auto"/>
                      <w:kern w:val="0"/>
                      <w:sz w:val="21"/>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8" w:type="pct"/>
                  <w:noWrap w:val="0"/>
                  <w:vAlign w:val="center"/>
                </w:tcPr>
                <w:p>
                  <w:pPr>
                    <w:autoSpaceDE w:val="0"/>
                    <w:autoSpaceDN w:val="0"/>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总大肠菌群</w:t>
                  </w:r>
                </w:p>
              </w:tc>
              <w:tc>
                <w:tcPr>
                  <w:tcW w:w="1350"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bCs/>
                      <w:color w:val="auto"/>
                      <w:sz w:val="21"/>
                      <w:szCs w:val="21"/>
                    </w:rPr>
                    <w:t>＜2~2</w:t>
                  </w:r>
                  <w:r>
                    <w:rPr>
                      <w:rFonts w:ascii="Times New Roman" w:hAnsi="Times New Roman"/>
                      <w:color w:val="auto"/>
                      <w:kern w:val="0"/>
                      <w:sz w:val="21"/>
                      <w:szCs w:val="21"/>
                    </w:rPr>
                    <w:t xml:space="preserve"> MPN/100mL</w:t>
                  </w:r>
                </w:p>
              </w:tc>
              <w:tc>
                <w:tcPr>
                  <w:tcW w:w="979" w:type="pct"/>
                  <w:noWrap w:val="0"/>
                  <w:vAlign w:val="center"/>
                </w:tcPr>
                <w:p>
                  <w:pPr>
                    <w:spacing w:line="240" w:lineRule="auto"/>
                    <w:jc w:val="center"/>
                    <w:rPr>
                      <w:rFonts w:ascii="Times New Roman" w:hAnsi="Times New Roman"/>
                      <w:color w:val="auto"/>
                      <w:spacing w:val="-2"/>
                      <w:sz w:val="21"/>
                      <w:szCs w:val="21"/>
                    </w:rPr>
                  </w:pPr>
                  <w:r>
                    <w:rPr>
                      <w:rFonts w:ascii="Times New Roman" w:hAnsi="Times New Roman"/>
                      <w:color w:val="auto"/>
                      <w:sz w:val="21"/>
                      <w:szCs w:val="21"/>
                    </w:rPr>
                    <w:t>≤</w:t>
                  </w:r>
                  <w:r>
                    <w:rPr>
                      <w:rFonts w:ascii="Times New Roman" w:hAnsi="Times New Roman"/>
                      <w:color w:val="auto"/>
                      <w:spacing w:val="-2"/>
                      <w:sz w:val="21"/>
                      <w:szCs w:val="21"/>
                    </w:rPr>
                    <w:t>0.67</w:t>
                  </w:r>
                </w:p>
              </w:tc>
              <w:tc>
                <w:tcPr>
                  <w:tcW w:w="152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≤3.0</w:t>
                  </w:r>
                  <w:r>
                    <w:rPr>
                      <w:rFonts w:ascii="Times New Roman" w:hAnsi="Times New Roman"/>
                      <w:color w:val="auto"/>
                      <w:kern w:val="0"/>
                      <w:sz w:val="21"/>
                      <w:szCs w:val="21"/>
                    </w:rPr>
                    <w:t xml:space="preserve"> mg/LMPN/100mL</w:t>
                  </w:r>
                </w:p>
              </w:tc>
            </w:tr>
          </w:tbl>
          <w:p>
            <w:pPr>
              <w:spacing w:line="360" w:lineRule="auto"/>
              <w:ind w:firstLine="480" w:firstLineChars="200"/>
              <w:rPr>
                <w:b/>
                <w:bCs/>
                <w:color w:val="auto"/>
                <w:sz w:val="24"/>
                <w:szCs w:val="24"/>
              </w:rPr>
            </w:pPr>
            <w:r>
              <w:rPr>
                <w:rFonts w:ascii="Times New Roman" w:hAnsi="Times New Roman"/>
                <w:color w:val="auto"/>
                <w:sz w:val="24"/>
                <w:szCs w:val="24"/>
              </w:rPr>
              <w:t>根据监测结果可（GB/T 14848-2017）中的Ⅲ类标准限值，项目所在地地下水质量较好知，本项目所在区域周边地下水八大离子阴阳电荷基本平衡，各监测点监测因子均能满足《地下水质量标准》（GB/T14848-2017）</w:t>
            </w:r>
            <w:r>
              <w:rPr>
                <w:rFonts w:hint="eastAsia" w:ascii="Times New Roman" w:hAnsi="Times New Roman"/>
                <w:color w:val="auto"/>
                <w:sz w:val="24"/>
                <w:szCs w:val="24"/>
              </w:rPr>
              <w:t>相关限值</w:t>
            </w:r>
            <w:r>
              <w:rPr>
                <w:rFonts w:ascii="Times New Roman" w:hAnsi="Times New Roman"/>
                <w:color w:val="auto"/>
                <w:sz w:val="24"/>
                <w:szCs w:val="24"/>
              </w:rPr>
              <w:t>。</w:t>
            </w:r>
          </w:p>
          <w:p>
            <w:pPr>
              <w:spacing w:line="360" w:lineRule="auto"/>
              <w:rPr>
                <w:rFonts w:hint="eastAsia"/>
                <w:b/>
                <w:color w:val="auto"/>
                <w:sz w:val="24"/>
                <w:szCs w:val="24"/>
              </w:rPr>
            </w:pPr>
            <w:r>
              <w:rPr>
                <w:rFonts w:hint="eastAsia"/>
                <w:b/>
                <w:color w:val="auto"/>
                <w:sz w:val="24"/>
                <w:szCs w:val="24"/>
                <w:lang w:val="en-US" w:eastAsia="zh-CN"/>
              </w:rPr>
              <w:t>五</w:t>
            </w:r>
            <w:r>
              <w:rPr>
                <w:rFonts w:hint="eastAsia"/>
                <w:b/>
                <w:color w:val="auto"/>
                <w:sz w:val="24"/>
                <w:szCs w:val="24"/>
                <w:lang w:eastAsia="zh-CN"/>
              </w:rPr>
              <w:t>、</w:t>
            </w:r>
            <w:r>
              <w:rPr>
                <w:rFonts w:hint="eastAsia"/>
                <w:b/>
                <w:color w:val="auto"/>
                <w:sz w:val="24"/>
                <w:szCs w:val="24"/>
              </w:rPr>
              <w:t>土壤环境质量现状监测与评价</w:t>
            </w:r>
          </w:p>
          <w:p>
            <w:pPr>
              <w:spacing w:line="360" w:lineRule="auto"/>
              <w:ind w:firstLine="482" w:firstLineChars="200"/>
              <w:rPr>
                <w:rFonts w:hint="eastAsia" w:ascii="Times New Roman" w:hAnsi="Times New Roman" w:eastAsia="宋体"/>
                <w:b/>
                <w:bCs/>
                <w:color w:val="auto"/>
                <w:sz w:val="24"/>
                <w:szCs w:val="24"/>
                <w:lang w:val="en-US" w:eastAsia="zh-CN"/>
              </w:rPr>
            </w:pPr>
            <w:r>
              <w:rPr>
                <w:rFonts w:hint="eastAsia" w:ascii="Times New Roman" w:hAnsi="Times New Roman"/>
                <w:b/>
                <w:bCs/>
                <w:color w:val="auto"/>
                <w:sz w:val="24"/>
                <w:szCs w:val="24"/>
                <w:lang w:val="en-US" w:eastAsia="zh-CN"/>
              </w:rPr>
              <w:t>1</w:t>
            </w:r>
            <w:r>
              <w:rPr>
                <w:rFonts w:ascii="Times New Roman" w:hAnsi="Times New Roman"/>
                <w:b/>
                <w:bCs/>
                <w:color w:val="auto"/>
                <w:sz w:val="24"/>
                <w:szCs w:val="24"/>
              </w:rPr>
              <w:t>、土壤环境质量现状</w:t>
            </w:r>
            <w:r>
              <w:rPr>
                <w:rFonts w:hint="eastAsia" w:ascii="Times New Roman" w:hAnsi="Times New Roman"/>
                <w:b/>
                <w:bCs/>
                <w:color w:val="auto"/>
                <w:sz w:val="24"/>
                <w:szCs w:val="24"/>
                <w:lang w:val="en-US" w:eastAsia="zh-CN"/>
              </w:rPr>
              <w:t>监测</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本次评价按照《环境影响评价技术导则 土壤环境（试行）》（HJ 964-2018）三级评价要求委托四川华皓检测技术有限公司对土壤环境质量进行监测。具体布点如下表所示：</w:t>
            </w:r>
          </w:p>
          <w:p>
            <w:pPr>
              <w:spacing w:line="360" w:lineRule="auto"/>
              <w:jc w:val="center"/>
              <w:rPr>
                <w:rFonts w:ascii="Times New Roman" w:hAnsi="Times New Roman"/>
                <w:b/>
                <w:bCs/>
                <w:color w:val="auto"/>
                <w:sz w:val="21"/>
                <w:szCs w:val="21"/>
              </w:rPr>
            </w:pPr>
            <w:r>
              <w:rPr>
                <w:rFonts w:ascii="Times New Roman" w:hAnsi="Times New Roman"/>
                <w:b/>
                <w:bCs/>
                <w:color w:val="auto"/>
                <w:sz w:val="21"/>
                <w:szCs w:val="21"/>
              </w:rPr>
              <w:t>表3-1</w:t>
            </w:r>
            <w:r>
              <w:rPr>
                <w:rFonts w:hint="eastAsia" w:ascii="Times New Roman" w:hAnsi="Times New Roman"/>
                <w:b/>
                <w:bCs/>
                <w:color w:val="auto"/>
                <w:sz w:val="21"/>
                <w:szCs w:val="21"/>
                <w:lang w:val="en-US" w:eastAsia="zh-CN"/>
              </w:rPr>
              <w:t>0</w:t>
            </w:r>
            <w:r>
              <w:rPr>
                <w:rFonts w:ascii="Times New Roman" w:hAnsi="Times New Roman"/>
                <w:b/>
                <w:bCs/>
                <w:color w:val="auto"/>
                <w:sz w:val="21"/>
                <w:szCs w:val="21"/>
              </w:rPr>
              <w:t xml:space="preserve">  土壤环境质量现状监测布点</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720"/>
              <w:gridCol w:w="1666"/>
              <w:gridCol w:w="1571"/>
              <w:gridCol w:w="2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编号</w:t>
                  </w:r>
                </w:p>
              </w:tc>
              <w:tc>
                <w:tcPr>
                  <w:tcW w:w="1026"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监测点名称</w:t>
                  </w:r>
                </w:p>
              </w:tc>
              <w:tc>
                <w:tcPr>
                  <w:tcW w:w="994"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监测项目</w:t>
                  </w:r>
                </w:p>
              </w:tc>
              <w:tc>
                <w:tcPr>
                  <w:tcW w:w="937"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监测频率</w:t>
                  </w:r>
                </w:p>
              </w:tc>
              <w:tc>
                <w:tcPr>
                  <w:tcW w:w="1694"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4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1026" w:type="pct"/>
                  <w:noWrap w:val="0"/>
                  <w:vAlign w:val="center"/>
                </w:tcPr>
                <w:p>
                  <w:pPr>
                    <w:spacing w:line="240" w:lineRule="auto"/>
                    <w:jc w:val="center"/>
                    <w:rPr>
                      <w:rFonts w:hint="eastAsia" w:ascii="Times New Roman" w:hAnsi="Times New Roman"/>
                      <w:color w:val="auto"/>
                      <w:sz w:val="21"/>
                      <w:szCs w:val="21"/>
                    </w:rPr>
                  </w:pPr>
                  <w:r>
                    <w:rPr>
                      <w:rFonts w:hint="eastAsia" w:hAnsi="宋体"/>
                      <w:color w:val="auto"/>
                      <w:sz w:val="21"/>
                      <w:szCs w:val="21"/>
                    </w:rPr>
                    <w:t>拟建拉丝生产区</w:t>
                  </w:r>
                  <w:r>
                    <w:rPr>
                      <w:rFonts w:hint="eastAsia" w:ascii="Times New Roman" w:hAnsi="Times New Roman"/>
                      <w:color w:val="auto"/>
                      <w:sz w:val="21"/>
                      <w:szCs w:val="21"/>
                    </w:rPr>
                    <w:t>表层样0~20cm</w:t>
                  </w:r>
                </w:p>
              </w:tc>
              <w:tc>
                <w:tcPr>
                  <w:tcW w:w="994" w:type="pct"/>
                  <w:vMerge w:val="restar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pH、基本45项</w:t>
                  </w:r>
                </w:p>
              </w:tc>
              <w:tc>
                <w:tcPr>
                  <w:tcW w:w="937"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监测</w:t>
                  </w:r>
                  <w:r>
                    <w:rPr>
                      <w:rFonts w:hint="eastAsia" w:ascii="Times New Roman" w:hAnsi="Times New Roman"/>
                      <w:color w:val="auto"/>
                      <w:sz w:val="21"/>
                      <w:szCs w:val="21"/>
                    </w:rPr>
                    <w:t>1</w:t>
                  </w:r>
                  <w:r>
                    <w:rPr>
                      <w:rFonts w:ascii="Times New Roman" w:hAnsi="Times New Roman"/>
                      <w:color w:val="auto"/>
                      <w:sz w:val="21"/>
                      <w:szCs w:val="21"/>
                    </w:rPr>
                    <w:t>天，</w:t>
                  </w:r>
                  <w:r>
                    <w:rPr>
                      <w:rFonts w:hint="eastAsia" w:ascii="Times New Roman" w:hAnsi="Times New Roman"/>
                      <w:color w:val="auto"/>
                      <w:sz w:val="21"/>
                      <w:szCs w:val="21"/>
                    </w:rPr>
                    <w:t>采样1次</w:t>
                  </w:r>
                </w:p>
              </w:tc>
              <w:tc>
                <w:tcPr>
                  <w:tcW w:w="1694" w:type="pct"/>
                  <w:vMerge w:val="restar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执行《土壤环境质量建设用地土壤污染风险管控标准（试行）》（GB36600-2018）表1中建设用地土壤污染风险第二类用地筛选值。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8"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2#</w:t>
                  </w:r>
                </w:p>
              </w:tc>
              <w:tc>
                <w:tcPr>
                  <w:tcW w:w="1026" w:type="pct"/>
                  <w:noWrap w:val="0"/>
                  <w:vAlign w:val="center"/>
                </w:tcPr>
                <w:p>
                  <w:pPr>
                    <w:spacing w:line="240" w:lineRule="auto"/>
                    <w:jc w:val="center"/>
                    <w:rPr>
                      <w:rFonts w:hint="eastAsia" w:hAnsi="宋体"/>
                      <w:color w:val="auto"/>
                      <w:sz w:val="21"/>
                      <w:szCs w:val="21"/>
                    </w:rPr>
                  </w:pPr>
                  <w:r>
                    <w:rPr>
                      <w:rFonts w:hint="eastAsia" w:hAnsi="宋体"/>
                      <w:color w:val="auto"/>
                      <w:sz w:val="21"/>
                      <w:szCs w:val="21"/>
                    </w:rPr>
                    <w:t>现有工程生产区</w:t>
                  </w:r>
                  <w:r>
                    <w:rPr>
                      <w:rFonts w:hint="eastAsia" w:ascii="Times New Roman" w:hAnsi="Times New Roman"/>
                      <w:color w:val="auto"/>
                      <w:sz w:val="21"/>
                      <w:szCs w:val="21"/>
                    </w:rPr>
                    <w:t>表层样0~20cm</w:t>
                  </w:r>
                </w:p>
              </w:tc>
              <w:tc>
                <w:tcPr>
                  <w:tcW w:w="994" w:type="pct"/>
                  <w:vMerge w:val="continue"/>
                  <w:noWrap w:val="0"/>
                  <w:vAlign w:val="center"/>
                </w:tcPr>
                <w:p>
                  <w:pPr>
                    <w:spacing w:line="240" w:lineRule="auto"/>
                    <w:jc w:val="center"/>
                    <w:rPr>
                      <w:rFonts w:ascii="Times New Roman" w:hAnsi="Times New Roman"/>
                      <w:color w:val="auto"/>
                      <w:sz w:val="21"/>
                      <w:szCs w:val="21"/>
                    </w:rPr>
                  </w:pPr>
                </w:p>
              </w:tc>
              <w:tc>
                <w:tcPr>
                  <w:tcW w:w="937" w:type="pct"/>
                  <w:vMerge w:val="continue"/>
                  <w:noWrap w:val="0"/>
                  <w:vAlign w:val="center"/>
                </w:tcPr>
                <w:p>
                  <w:pPr>
                    <w:spacing w:line="240" w:lineRule="auto"/>
                    <w:jc w:val="center"/>
                    <w:rPr>
                      <w:rFonts w:ascii="Times New Roman" w:hAnsi="Times New Roman"/>
                      <w:color w:val="auto"/>
                      <w:sz w:val="21"/>
                      <w:szCs w:val="21"/>
                    </w:rPr>
                  </w:pPr>
                </w:p>
              </w:tc>
              <w:tc>
                <w:tcPr>
                  <w:tcW w:w="1694" w:type="pct"/>
                  <w:vMerge w:val="continue"/>
                  <w:noWrap w:val="0"/>
                  <w:vAlign w:val="center"/>
                </w:tcPr>
                <w:p>
                  <w:pPr>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348"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3#</w:t>
                  </w:r>
                </w:p>
              </w:tc>
              <w:tc>
                <w:tcPr>
                  <w:tcW w:w="1026" w:type="pct"/>
                  <w:noWrap w:val="0"/>
                  <w:vAlign w:val="center"/>
                </w:tcPr>
                <w:p>
                  <w:pPr>
                    <w:spacing w:line="240" w:lineRule="auto"/>
                    <w:jc w:val="center"/>
                    <w:rPr>
                      <w:rFonts w:hint="eastAsia" w:hAnsi="宋体"/>
                      <w:color w:val="auto"/>
                      <w:sz w:val="21"/>
                      <w:szCs w:val="21"/>
                    </w:rPr>
                  </w:pPr>
                  <w:r>
                    <w:rPr>
                      <w:rFonts w:hint="eastAsia" w:hAnsi="宋体"/>
                      <w:color w:val="auto"/>
                      <w:sz w:val="21"/>
                      <w:szCs w:val="21"/>
                    </w:rPr>
                    <w:t>污水处理站处</w:t>
                  </w:r>
                  <w:r>
                    <w:rPr>
                      <w:rFonts w:hint="eastAsia" w:ascii="Times New Roman" w:hAnsi="Times New Roman"/>
                      <w:color w:val="auto"/>
                      <w:sz w:val="21"/>
                      <w:szCs w:val="21"/>
                    </w:rPr>
                    <w:t>表层样0~20cm</w:t>
                  </w:r>
                </w:p>
              </w:tc>
              <w:tc>
                <w:tcPr>
                  <w:tcW w:w="994" w:type="pct"/>
                  <w:vMerge w:val="continue"/>
                  <w:noWrap w:val="0"/>
                  <w:vAlign w:val="center"/>
                </w:tcPr>
                <w:p>
                  <w:pPr>
                    <w:spacing w:line="240" w:lineRule="auto"/>
                    <w:jc w:val="center"/>
                    <w:rPr>
                      <w:rFonts w:ascii="Times New Roman" w:hAnsi="Times New Roman"/>
                      <w:color w:val="auto"/>
                      <w:sz w:val="21"/>
                      <w:szCs w:val="21"/>
                    </w:rPr>
                  </w:pPr>
                </w:p>
              </w:tc>
              <w:tc>
                <w:tcPr>
                  <w:tcW w:w="937" w:type="pct"/>
                  <w:vMerge w:val="continue"/>
                  <w:noWrap w:val="0"/>
                  <w:vAlign w:val="center"/>
                </w:tcPr>
                <w:p>
                  <w:pPr>
                    <w:spacing w:line="240" w:lineRule="auto"/>
                    <w:jc w:val="center"/>
                    <w:rPr>
                      <w:rFonts w:ascii="Times New Roman" w:hAnsi="Times New Roman"/>
                      <w:color w:val="auto"/>
                      <w:sz w:val="21"/>
                      <w:szCs w:val="21"/>
                    </w:rPr>
                  </w:pPr>
                </w:p>
              </w:tc>
              <w:tc>
                <w:tcPr>
                  <w:tcW w:w="1694" w:type="pct"/>
                  <w:vMerge w:val="continue"/>
                  <w:noWrap w:val="0"/>
                  <w:vAlign w:val="center"/>
                </w:tcPr>
                <w:p>
                  <w:pPr>
                    <w:spacing w:line="240" w:lineRule="auto"/>
                    <w:jc w:val="center"/>
                    <w:rPr>
                      <w:rFonts w:ascii="Times New Roman" w:hAnsi="Times New Roman"/>
                      <w:color w:val="auto"/>
                      <w:sz w:val="21"/>
                      <w:szCs w:val="21"/>
                    </w:rPr>
                  </w:pPr>
                </w:p>
              </w:tc>
            </w:tr>
          </w:tbl>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（1）监测项目</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pH、建设用地基本项目；</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建设用地基本项目：pH、重金属和无机物：砷、镉、铬（六价）、铜、铅、汞、镍；挥发性有机物：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半挥发性有机物：硝基苯、苯胺、2-氯酚、苯并[a]蒽、苯并[a]芘、苯并[b]荧蒽、苯并[k]荧蒽、䓛、二苯并[a,h]蔥、茚并[1,2,3-cd]芘、萘。</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（2）监测技术要求及分析方法</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各项目监测分析方法按《土壤环境质量 建设用地土壤污染风险管控标准（试行）》（GB36600-2018）中规定的执行。</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（3）监测结果</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土壤现状监测结果统计详见下表。</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表3-1</w:t>
            </w:r>
            <w:r>
              <w:rPr>
                <w:rFonts w:hint="eastAsia" w:ascii="Times New Roman" w:hAnsi="Times New Roman"/>
                <w:b/>
                <w:bCs/>
                <w:color w:val="auto"/>
                <w:sz w:val="21"/>
                <w:szCs w:val="21"/>
                <w:lang w:val="en-US" w:eastAsia="zh-CN"/>
              </w:rPr>
              <w:t>1</w:t>
            </w:r>
            <w:r>
              <w:rPr>
                <w:rFonts w:ascii="Times New Roman" w:hAnsi="Times New Roman"/>
                <w:b/>
                <w:bCs/>
                <w:color w:val="auto"/>
                <w:sz w:val="21"/>
                <w:szCs w:val="21"/>
              </w:rPr>
              <w:t xml:space="preserve">  土壤环境质量现状监测结果</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898"/>
              <w:gridCol w:w="1595"/>
              <w:gridCol w:w="1190"/>
              <w:gridCol w:w="1190"/>
              <w:gridCol w:w="1117"/>
              <w:gridCol w:w="805"/>
              <w:gridCol w:w="8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检测日期</w:t>
                  </w:r>
                </w:p>
              </w:tc>
              <w:tc>
                <w:tcPr>
                  <w:tcW w:w="0" w:type="auto"/>
                  <w:gridSpan w:val="2"/>
                  <w:vMerge w:val="restar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检测项目</w:t>
                  </w:r>
                </w:p>
              </w:tc>
              <w:tc>
                <w:tcPr>
                  <w:tcW w:w="0" w:type="auto"/>
                  <w:gridSpan w:val="3"/>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检测结果</w:t>
                  </w:r>
                </w:p>
              </w:tc>
              <w:tc>
                <w:tcPr>
                  <w:tcW w:w="0" w:type="auto"/>
                  <w:vMerge w:val="restar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检出限</w:t>
                  </w:r>
                </w:p>
              </w:tc>
              <w:tc>
                <w:tcPr>
                  <w:tcW w:w="0" w:type="auto"/>
                  <w:vMerge w:val="restar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gridSpan w:val="2"/>
                  <w:vMerge w:val="continue"/>
                  <w:noWrap w:val="0"/>
                  <w:vAlign w:val="center"/>
                </w:tcPr>
                <w:p>
                  <w:pPr>
                    <w:spacing w:line="240" w:lineRule="auto"/>
                    <w:jc w:val="center"/>
                    <w:rPr>
                      <w:rFonts w:ascii="Times New Roman" w:hAnsi="Times New Roman"/>
                      <w:color w:val="auto"/>
                      <w:sz w:val="21"/>
                      <w:szCs w:val="21"/>
                    </w:rPr>
                  </w:pPr>
                </w:p>
              </w:tc>
              <w:tc>
                <w:tcPr>
                  <w:tcW w:w="0" w:type="auto"/>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拟建拉丝生产区S1</w:t>
                  </w:r>
                </w:p>
              </w:tc>
              <w:tc>
                <w:tcPr>
                  <w:tcW w:w="0" w:type="auto"/>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现有工程生产区S2</w:t>
                  </w:r>
                </w:p>
              </w:tc>
              <w:tc>
                <w:tcPr>
                  <w:tcW w:w="0" w:type="auto"/>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污水处理站处S3</w:t>
                  </w: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08月12日</w:t>
                  </w:r>
                </w:p>
              </w:tc>
              <w:tc>
                <w:tcPr>
                  <w:tcW w:w="0" w:type="auto"/>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pH</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6.82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6.91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6.97</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8.57</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19.5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12.3</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镉</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0.17</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铬（六价）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＜0.5</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铜</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16</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34</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铅</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40</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汞</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0.030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0.084</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0.002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镍</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24</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43</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08月12日</w:t>
                  </w:r>
                </w:p>
              </w:tc>
              <w:tc>
                <w:tcPr>
                  <w:tcW w:w="0" w:type="auto"/>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挥发性有机物</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氯甲烷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氯乙烯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pacing w:val="-20"/>
                      <w:sz w:val="21"/>
                      <w:szCs w:val="21"/>
                    </w:rPr>
                    <w:t>1,1-二氯乙烯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二氯甲烷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反-1,2-二氯乙烯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1.1-二氯乙烷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顺－1,2-二氯乙烯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氯仿</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1,1,1-三氯乙烷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四氯化碳</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1,2-二氯乙烷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三氯乙烯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1,2-二氯丙烷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甲苯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1,1,2-三氯乙烷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四氯乙烯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氯苯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1,1,1,2-四氯乙烷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乙苯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间二甲苯+对二甲苯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10.6</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11.8</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18.2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邻－二甲苯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苯乙烯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1,1,2,2-四氯乙烷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1,2,3-三氯丙烷</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1,4-二氯苯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1.2-二氯苯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半挥发性有机物</w:t>
                  </w:r>
                </w:p>
                <w:p>
                  <w:pPr>
                    <w:spacing w:line="240" w:lineRule="auto"/>
                    <w:jc w:val="center"/>
                    <w:rPr>
                      <w:rFonts w:ascii="Times New Roman" w:hAnsi="Times New Roman"/>
                      <w:color w:val="auto"/>
                      <w:sz w:val="21"/>
                      <w:szCs w:val="21"/>
                    </w:rPr>
                  </w:pPr>
                </w:p>
              </w:tc>
              <w:tc>
                <w:tcPr>
                  <w:tcW w:w="0" w:type="auto"/>
                  <w:noWrap w:val="0"/>
                  <w:vAlign w:val="center"/>
                </w:tcPr>
                <w:p>
                  <w:pPr>
                    <w:pStyle w:val="25"/>
                    <w:snapToGrid w:val="0"/>
                    <w:spacing w:before="0" w:beforeAutospacing="0" w:after="0" w:afterAutospacing="0" w:line="240" w:lineRule="auto"/>
                    <w:jc w:val="center"/>
                    <w:rPr>
                      <w:rFonts w:ascii="Times New Roman" w:hAnsi="Times New Roman"/>
                      <w:color w:val="auto"/>
                      <w:kern w:val="2"/>
                      <w:sz w:val="21"/>
                      <w:szCs w:val="21"/>
                      <w:lang w:bidi="ar-SA"/>
                    </w:rPr>
                  </w:pPr>
                  <w:r>
                    <w:rPr>
                      <w:rFonts w:ascii="Times New Roman" w:hAnsi="Times New Roman"/>
                      <w:color w:val="auto"/>
                      <w:sz w:val="21"/>
                      <w:szCs w:val="21"/>
                    </w:rPr>
                    <w:t>苯胺</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2-氯酚</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＜0.06</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＜0.06</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＜0.06</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0.06</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硝基苯</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萘</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苯并（a）蒽</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䓛</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苯并(b)荧蒽</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苯并(k)荧蒽</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苯并（a）芘</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茚并(1,2,3-cd)芘</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vMerge w:val="continue"/>
                  <w:noWrap w:val="0"/>
                  <w:vAlign w:val="center"/>
                </w:tcPr>
                <w:p>
                  <w:pPr>
                    <w:spacing w:line="240" w:lineRule="auto"/>
                    <w:jc w:val="center"/>
                    <w:rPr>
                      <w:rFonts w:ascii="Times New Roman" w:hAnsi="Times New Roman"/>
                      <w:color w:val="auto"/>
                      <w:sz w:val="21"/>
                      <w:szCs w:val="21"/>
                    </w:rPr>
                  </w:pP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二苯并(a,h)蒽</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0" w:type="auto"/>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8"/>
                  <w:noWrap w:val="0"/>
                  <w:vAlign w:val="center"/>
                </w:tcPr>
                <w:p>
                  <w:pPr>
                    <w:spacing w:line="240" w:lineRule="auto"/>
                    <w:jc w:val="left"/>
                    <w:rPr>
                      <w:rFonts w:ascii="Times New Roman" w:hAnsi="Times New Roman"/>
                      <w:color w:val="auto"/>
                      <w:sz w:val="21"/>
                      <w:szCs w:val="21"/>
                    </w:rPr>
                  </w:pPr>
                  <w:r>
                    <w:rPr>
                      <w:rFonts w:ascii="Times New Roman" w:hAnsi="Times New Roman"/>
                      <w:color w:val="auto"/>
                      <w:sz w:val="21"/>
                      <w:szCs w:val="21"/>
                    </w:rPr>
                    <w:t>备注：土壤检测指标中除</w:t>
                  </w:r>
                  <w:r>
                    <w:rPr>
                      <w:rFonts w:ascii="Times New Roman" w:hAnsi="Times New Roman"/>
                      <w:bCs/>
                      <w:color w:val="auto"/>
                      <w:sz w:val="21"/>
                      <w:szCs w:val="21"/>
                    </w:rPr>
                    <w:t>pH</w:t>
                  </w:r>
                  <w:r>
                    <w:rPr>
                      <w:rFonts w:ascii="Times New Roman" w:hAnsi="Times New Roman"/>
                      <w:color w:val="auto"/>
                      <w:sz w:val="21"/>
                      <w:szCs w:val="21"/>
                    </w:rPr>
                    <w:t>检测指标外其余指标均为分包项目，分包单位为：江西志科检测技术有限公司、资质证书编号：181412341119，报告编号：SIT环字（2008）2808号</w:t>
                  </w:r>
                  <w:r>
                    <w:rPr>
                      <w:rFonts w:hint="eastAsia" w:ascii="Times New Roman" w:hAnsi="Times New Roman"/>
                      <w:color w:val="auto"/>
                      <w:sz w:val="21"/>
                      <w:szCs w:val="21"/>
                    </w:rPr>
                    <w:t>。</w:t>
                  </w:r>
                </w:p>
              </w:tc>
            </w:tr>
          </w:tbl>
          <w:p>
            <w:pPr>
              <w:spacing w:line="360" w:lineRule="auto"/>
              <w:ind w:firstLine="482" w:firstLineChars="200"/>
              <w:rPr>
                <w:rFonts w:ascii="Times New Roman" w:hAnsi="Times New Roman"/>
                <w:b/>
                <w:bCs/>
                <w:color w:val="auto"/>
                <w:sz w:val="24"/>
                <w:szCs w:val="24"/>
              </w:rPr>
            </w:pPr>
            <w:r>
              <w:rPr>
                <w:rFonts w:hint="eastAsia"/>
                <w:b/>
                <w:bCs/>
                <w:color w:val="auto"/>
                <w:sz w:val="24"/>
                <w:szCs w:val="24"/>
                <w:lang w:val="en-US" w:eastAsia="zh-CN"/>
              </w:rPr>
              <w:t>2</w:t>
            </w:r>
            <w:r>
              <w:rPr>
                <w:rFonts w:hint="eastAsia" w:ascii="Times New Roman" w:hAnsi="Times New Roman"/>
                <w:b/>
                <w:bCs/>
                <w:color w:val="auto"/>
                <w:sz w:val="24"/>
                <w:szCs w:val="24"/>
              </w:rPr>
              <w:t>、土壤环境质量现状</w:t>
            </w:r>
            <w:r>
              <w:rPr>
                <w:rFonts w:hint="eastAsia"/>
                <w:b/>
                <w:bCs/>
                <w:color w:val="auto"/>
                <w:sz w:val="24"/>
                <w:szCs w:val="24"/>
              </w:rPr>
              <w:t>评价</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（1）评价因子及评价标准</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根据项目特点，本项目评价标准采用《土壤环境质量 建设用地土壤污染风险管控标准（试行）》（GB36600-2018）表1中建设用地土壤污染风险第二类用地筛选值。</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（2）评价方法</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将统计整理得到土壤环境质量现状监测结果与评价标准值直接比较，评定项目区域范围内土壤环境现状。</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表3-1</w:t>
            </w:r>
            <w:r>
              <w:rPr>
                <w:rFonts w:hint="eastAsia" w:ascii="Times New Roman" w:hAnsi="Times New Roman"/>
                <w:b/>
                <w:bCs/>
                <w:color w:val="auto"/>
                <w:sz w:val="21"/>
                <w:szCs w:val="21"/>
                <w:lang w:val="en-US" w:eastAsia="zh-CN"/>
              </w:rPr>
              <w:t>2</w:t>
            </w:r>
            <w:r>
              <w:rPr>
                <w:rFonts w:ascii="Times New Roman" w:hAnsi="Times New Roman"/>
                <w:b/>
                <w:bCs/>
                <w:color w:val="auto"/>
                <w:sz w:val="21"/>
                <w:szCs w:val="21"/>
              </w:rPr>
              <w:t xml:space="preserve">  土壤环境质量现状监测结果评价</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58"/>
              <w:gridCol w:w="993"/>
              <w:gridCol w:w="919"/>
              <w:gridCol w:w="1031"/>
              <w:gridCol w:w="753"/>
              <w:gridCol w:w="2262"/>
              <w:gridCol w:w="8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4" w:type="pct"/>
                  <w:gridSpan w:val="2"/>
                  <w:vMerge w:val="restar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检测项目</w:t>
                  </w:r>
                </w:p>
              </w:tc>
              <w:tc>
                <w:tcPr>
                  <w:tcW w:w="1782" w:type="pct"/>
                  <w:gridSpan w:val="3"/>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检测结果</w:t>
                  </w:r>
                </w:p>
              </w:tc>
              <w:tc>
                <w:tcPr>
                  <w:tcW w:w="446" w:type="pct"/>
                  <w:vMerge w:val="restar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单位</w:t>
                  </w:r>
                </w:p>
              </w:tc>
              <w:tc>
                <w:tcPr>
                  <w:tcW w:w="1357" w:type="pc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执行标准</w:t>
                  </w:r>
                </w:p>
              </w:tc>
              <w:tc>
                <w:tcPr>
                  <w:tcW w:w="508" w:type="pct"/>
                  <w:vMerge w:val="restart"/>
                  <w:shd w:val="clear" w:color="auto" w:fill="DCE6F2" w:themeFill="accent1" w:themeFillTint="32"/>
                  <w:noWrap w:val="0"/>
                  <w:vAlign w:val="center"/>
                </w:tcPr>
                <w:p>
                  <w:pPr>
                    <w:spacing w:line="240" w:lineRule="auto"/>
                    <w:jc w:val="center"/>
                    <w:rPr>
                      <w:rFonts w:ascii="Times New Roman" w:hAnsi="Times New Roman"/>
                      <w:color w:val="auto"/>
                      <w:sz w:val="21"/>
                      <w:szCs w:val="21"/>
                    </w:rPr>
                  </w:pPr>
                  <w:r>
                    <w:rPr>
                      <w:rFonts w:ascii="Times New Roman" w:hAnsi="Times New Roman"/>
                      <w:b/>
                      <w:bCs/>
                      <w:color w:val="auto"/>
                      <w:sz w:val="21"/>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4" w:type="pct"/>
                  <w:gridSpan w:val="2"/>
                  <w:vMerge w:val="continue"/>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p>
              </w:tc>
              <w:tc>
                <w:tcPr>
                  <w:tcW w:w="601" w:type="pc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拟建拉丝生产区S1</w:t>
                  </w:r>
                </w:p>
              </w:tc>
              <w:tc>
                <w:tcPr>
                  <w:tcW w:w="557" w:type="pc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现有工程生产区S2</w:t>
                  </w:r>
                </w:p>
              </w:tc>
              <w:tc>
                <w:tcPr>
                  <w:tcW w:w="624" w:type="pc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污水处理站处S3</w:t>
                  </w:r>
                </w:p>
              </w:tc>
              <w:tc>
                <w:tcPr>
                  <w:tcW w:w="446" w:type="pct"/>
                  <w:vMerge w:val="continue"/>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p>
              </w:tc>
              <w:tc>
                <w:tcPr>
                  <w:tcW w:w="1357" w:type="pc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GB36600-2018表1，第二类用地筛选值</w:t>
                  </w:r>
                </w:p>
              </w:tc>
              <w:tc>
                <w:tcPr>
                  <w:tcW w:w="508" w:type="pct"/>
                  <w:vMerge w:val="continue"/>
                  <w:shd w:val="clear" w:color="auto" w:fill="DCE6F2" w:themeFill="accent1" w:themeFillTint="32"/>
                  <w:noWrap w:val="0"/>
                  <w:vAlign w:val="center"/>
                </w:tcPr>
                <w:p>
                  <w:pPr>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4" w:type="pct"/>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pH</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6.82</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6.91</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6.97</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无量纲</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4" w:type="pct"/>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8.57</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19.5</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12.3</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4" w:type="pct"/>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镉</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0.13</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0.11</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0.17</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65mg/kg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4" w:type="pct"/>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铬（六价）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＜0.5</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＜0.5</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＜0.5</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5.7mg/kg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4" w:type="pct"/>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铜</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33</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16</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34</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18000mg/kg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4" w:type="pct"/>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铅</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25</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62</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40</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800mg/kg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4" w:type="pct"/>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汞</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0.030</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0.095</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0.084</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38mg/kg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4" w:type="pct"/>
                  <w:gridSpan w:val="2"/>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镍</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51</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24</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43</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600mg/kg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挥发性有机物</w:t>
                  </w: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氯甲烷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37mg/kg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氯乙烯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0.43mg/kg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pacing w:val="-20"/>
                      <w:sz w:val="21"/>
                      <w:szCs w:val="21"/>
                    </w:rPr>
                    <w:t>1,1-二氯乙烯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66mg/kg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二氯甲烷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616mg/kg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反-1,2-二氯乙烯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54mg/kg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1.1-二氯乙烷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9mg/kg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顺－1,2-二氯乙烯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596mg/kg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氯仿</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0.9mg/kg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1,1,1-三氯乙烷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840mg/kg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四氯化碳</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2.8mg/kg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＜1.9</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＜1.9</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＜1.9</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1,2-二氯乙烷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三氯乙烯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2.8mg/kg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1,2-二氯丙烷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甲苯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＜1.3</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1200mg/kg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1,1,2-三氯乙烷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2.8mg/kg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四氯乙烯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＜1.4</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53mg/kg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氯苯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270mg/kg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1,1,1,2-四氯乙烷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乙苯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28mg/kg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间二甲苯+对二甲苯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10.6</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11.8</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18.2</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570mg/kg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邻－二甲苯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640mg/kg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苯乙烯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＜1.1</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1290mg/kg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1,1,2,2-四氯乙烷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6.8mg/kg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1,2,3-三氯丙烷</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0.5mg/kg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1,4-二氯苯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1.2-二氯苯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μg/kg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560mg/kg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半挥发性有机物</w:t>
                  </w:r>
                </w:p>
                <w:p>
                  <w:pPr>
                    <w:spacing w:line="240" w:lineRule="auto"/>
                    <w:jc w:val="center"/>
                    <w:rPr>
                      <w:rFonts w:ascii="Times New Roman" w:hAnsi="Times New Roman"/>
                      <w:color w:val="auto"/>
                      <w:sz w:val="21"/>
                      <w:szCs w:val="21"/>
                    </w:rPr>
                  </w:pPr>
                </w:p>
              </w:tc>
              <w:tc>
                <w:tcPr>
                  <w:tcW w:w="676" w:type="pct"/>
                  <w:noWrap w:val="0"/>
                  <w:vAlign w:val="center"/>
                </w:tcPr>
                <w:p>
                  <w:pPr>
                    <w:pStyle w:val="25"/>
                    <w:snapToGrid w:val="0"/>
                    <w:spacing w:before="0" w:beforeAutospacing="0" w:after="0" w:afterAutospacing="0" w:line="240" w:lineRule="auto"/>
                    <w:jc w:val="center"/>
                    <w:rPr>
                      <w:rFonts w:ascii="Times New Roman" w:hAnsi="Times New Roman"/>
                      <w:color w:val="auto"/>
                      <w:kern w:val="2"/>
                      <w:sz w:val="21"/>
                      <w:szCs w:val="21"/>
                      <w:lang w:bidi="ar-SA"/>
                    </w:rPr>
                  </w:pPr>
                  <w:r>
                    <w:rPr>
                      <w:rFonts w:ascii="Times New Roman" w:hAnsi="Times New Roman"/>
                      <w:color w:val="auto"/>
                      <w:sz w:val="21"/>
                      <w:szCs w:val="21"/>
                    </w:rPr>
                    <w:t>苯胺</w:t>
                  </w:r>
                </w:p>
              </w:tc>
              <w:tc>
                <w:tcPr>
                  <w:tcW w:w="601" w:type="pct"/>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557" w:type="pct"/>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624" w:type="pct"/>
                  <w:noWrap w:val="0"/>
                  <w:vAlign w:val="center"/>
                </w:tcPr>
                <w:p>
                  <w:pPr>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260mg/kg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2-氯酚</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＜0.06</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＜0.06</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＜0.06</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2256mg/kg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硝基苯</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76mg/kg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萘</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＜0.09</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70mg/kg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苯并（a）蒽</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䓛</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1293mg/kg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苯并(b)荧蒽</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苯并(k)荧蒽</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151mg/kg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苯并（a）芘</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pStyle w:val="10"/>
                    <w:spacing w:line="240" w:lineRule="auto"/>
                    <w:jc w:val="center"/>
                    <w:rPr>
                      <w:rFonts w:ascii="Times New Roman" w:hAnsi="Times New Roman"/>
                      <w:color w:val="auto"/>
                      <w:sz w:val="21"/>
                      <w:szCs w:val="21"/>
                    </w:rPr>
                  </w:pPr>
                  <w:r>
                    <w:rPr>
                      <w:rFonts w:ascii="Times New Roman" w:hAnsi="Times New Roman"/>
                      <w:color w:val="auto"/>
                      <w:sz w:val="21"/>
                      <w:szCs w:val="21"/>
                    </w:rPr>
                    <w:t>茚并(1,2,3-cd)芘</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spacing w:line="240" w:lineRule="auto"/>
                    <w:jc w:val="center"/>
                    <w:rPr>
                      <w:rFonts w:ascii="Times New Roman" w:hAnsi="Times New Roman"/>
                      <w:color w:val="auto"/>
                      <w:sz w:val="21"/>
                      <w:szCs w:val="21"/>
                    </w:rPr>
                  </w:pPr>
                </w:p>
              </w:tc>
              <w:tc>
                <w:tcPr>
                  <w:tcW w:w="67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二苯并(a,h)蒽</w:t>
                  </w:r>
                </w:p>
              </w:tc>
              <w:tc>
                <w:tcPr>
                  <w:tcW w:w="60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5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624"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＜0.1</w:t>
                  </w:r>
                </w:p>
              </w:tc>
              <w:tc>
                <w:tcPr>
                  <w:tcW w:w="44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mg/kg</w:t>
                  </w:r>
                </w:p>
              </w:tc>
              <w:tc>
                <w:tcPr>
                  <w:tcW w:w="1357"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1.5mg/kg</w:t>
                  </w:r>
                </w:p>
              </w:tc>
              <w:tc>
                <w:tcPr>
                  <w:tcW w:w="50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bl>
          <w:p>
            <w:pPr>
              <w:ind w:firstLine="482" w:firstLineChars="200"/>
              <w:rPr>
                <w:rFonts w:ascii="Times New Roman" w:hAnsi="Times New Roman"/>
                <w:b/>
                <w:bCs/>
                <w:color w:val="auto"/>
                <w:sz w:val="24"/>
                <w:szCs w:val="24"/>
              </w:rPr>
            </w:pPr>
            <w:r>
              <w:rPr>
                <w:rFonts w:hint="eastAsia"/>
                <w:b/>
                <w:bCs/>
                <w:color w:val="auto"/>
                <w:sz w:val="24"/>
                <w:szCs w:val="24"/>
              </w:rPr>
              <w:t>4</w:t>
            </w:r>
            <w:r>
              <w:rPr>
                <w:rFonts w:hint="eastAsia" w:ascii="Times New Roman" w:hAnsi="Times New Roman"/>
                <w:b/>
                <w:bCs/>
                <w:color w:val="auto"/>
                <w:sz w:val="24"/>
                <w:szCs w:val="24"/>
              </w:rPr>
              <w:t>、</w:t>
            </w:r>
            <w:r>
              <w:rPr>
                <w:rFonts w:hint="eastAsia"/>
                <w:b/>
                <w:bCs/>
                <w:color w:val="auto"/>
                <w:sz w:val="24"/>
                <w:szCs w:val="24"/>
              </w:rPr>
              <w:t>评价结果</w:t>
            </w:r>
          </w:p>
          <w:p>
            <w:pPr>
              <w:keepNext w:val="0"/>
              <w:keepLines w:val="0"/>
              <w:pageBreakBefore w:val="0"/>
              <w:widowControl w:val="0"/>
              <w:tabs>
                <w:tab w:val="left" w:pos="4508"/>
              </w:tabs>
              <w:kinsoku/>
              <w:wordWrap/>
              <w:overflowPunct/>
              <w:topLinePunct w:val="0"/>
              <w:autoSpaceDE/>
              <w:autoSpaceDN/>
              <w:bidi w:val="0"/>
              <w:adjustRightInd/>
              <w:snapToGrid/>
              <w:spacing w:line="360" w:lineRule="auto"/>
              <w:ind w:firstLine="480" w:firstLineChars="200"/>
              <w:textAlignment w:val="auto"/>
              <w:rPr>
                <w:b/>
                <w:bCs/>
                <w:color w:val="auto"/>
                <w:sz w:val="24"/>
                <w:szCs w:val="24"/>
              </w:rPr>
            </w:pPr>
            <w:r>
              <w:rPr>
                <w:rFonts w:ascii="Times New Roman" w:hAnsi="Times New Roman"/>
                <w:color w:val="auto"/>
                <w:sz w:val="24"/>
                <w:szCs w:val="24"/>
              </w:rPr>
              <w:t>土壤环境质量执行《土壤环境质量 建设用地土壤污染风险管控标准（试行）》（GB36600-2018）表1中建设用地土壤污染风险第二类用地筛选值。由以上单因子指数可以看出，均未超出相应的第二类用地筛选值，满足《土壤环境质量 建设用地土壤污染风险管控标准（试行）》（GB36600-2018）。据此，判定评价区域土壤本底环境状况达标，满足环境功能要求。</w:t>
            </w:r>
          </w:p>
          <w:p>
            <w:pPr>
              <w:tabs>
                <w:tab w:val="left" w:pos="4508"/>
              </w:tabs>
              <w:spacing w:line="360" w:lineRule="auto"/>
              <w:ind w:firstLine="482" w:firstLineChars="200"/>
              <w:rPr>
                <w:b/>
                <w:bCs/>
                <w:color w:val="auto"/>
                <w:sz w:val="24"/>
                <w:szCs w:val="24"/>
              </w:rPr>
            </w:pPr>
            <w:r>
              <w:rPr>
                <w:b/>
                <w:bCs/>
                <w:color w:val="auto"/>
                <w:sz w:val="24"/>
                <w:szCs w:val="24"/>
              </w:rPr>
              <w:t>（</w:t>
            </w:r>
            <w:r>
              <w:rPr>
                <w:rFonts w:hint="eastAsia"/>
                <w:b/>
                <w:bCs/>
                <w:color w:val="auto"/>
                <w:sz w:val="24"/>
                <w:szCs w:val="24"/>
                <w:lang w:val="en-US" w:eastAsia="zh-CN"/>
              </w:rPr>
              <w:t>六</w:t>
            </w:r>
            <w:r>
              <w:rPr>
                <w:b/>
                <w:bCs/>
                <w:color w:val="auto"/>
                <w:sz w:val="24"/>
                <w:szCs w:val="24"/>
              </w:rPr>
              <w:t>）生态环境</w:t>
            </w:r>
          </w:p>
          <w:p>
            <w:pPr>
              <w:adjustRightInd w:val="0"/>
              <w:snapToGrid w:val="0"/>
              <w:spacing w:line="360" w:lineRule="auto"/>
              <w:ind w:firstLine="480" w:firstLineChars="200"/>
              <w:jc w:val="left"/>
              <w:rPr>
                <w:color w:val="auto"/>
                <w:kern w:val="0"/>
                <w:szCs w:val="21"/>
              </w:rPr>
            </w:pPr>
            <w:r>
              <w:rPr>
                <w:color w:val="auto"/>
                <w:sz w:val="24"/>
                <w:szCs w:val="24"/>
              </w:rPr>
              <w:t>项目位于</w:t>
            </w:r>
            <w:r>
              <w:rPr>
                <w:rFonts w:hint="eastAsia"/>
                <w:color w:val="auto"/>
                <w:sz w:val="24"/>
                <w:szCs w:val="24"/>
              </w:rPr>
              <w:t>乐山市犍为县舞雩镇石马坝园区</w:t>
            </w:r>
            <w:r>
              <w:rPr>
                <w:rFonts w:hint="eastAsia"/>
                <w:color w:val="auto"/>
                <w:sz w:val="24"/>
                <w:szCs w:val="24"/>
                <w:lang w:val="en-US" w:eastAsia="zh-CN"/>
              </w:rPr>
              <w:t>内</w:t>
            </w:r>
            <w:r>
              <w:rPr>
                <w:color w:val="auto"/>
                <w:sz w:val="24"/>
                <w:szCs w:val="24"/>
              </w:rPr>
              <w:t>，</w:t>
            </w:r>
            <w:r>
              <w:rPr>
                <w:rFonts w:hint="eastAsia"/>
                <w:color w:val="auto"/>
                <w:sz w:val="24"/>
                <w:szCs w:val="24"/>
              </w:rPr>
              <w:t>项目建设不涉及新增用地</w:t>
            </w:r>
            <w:r>
              <w:rPr>
                <w:rFonts w:hint="eastAsia"/>
                <w:color w:val="auto"/>
                <w:sz w:val="24"/>
                <w:szCs w:val="24"/>
                <w:lang w:eastAsia="zh-CN"/>
              </w:rPr>
              <w:t>，</w:t>
            </w:r>
            <w:r>
              <w:rPr>
                <w:rFonts w:hint="eastAsia"/>
                <w:color w:val="auto"/>
                <w:sz w:val="24"/>
                <w:szCs w:val="24"/>
              </w:rPr>
              <w:t>且用地范围内</w:t>
            </w:r>
            <w:r>
              <w:rPr>
                <w:rFonts w:hint="eastAsia"/>
                <w:color w:val="auto"/>
                <w:sz w:val="24"/>
                <w:szCs w:val="24"/>
                <w:lang w:val="en-US" w:eastAsia="zh-CN"/>
              </w:rPr>
              <w:t>无</w:t>
            </w:r>
            <w:r>
              <w:rPr>
                <w:rFonts w:hint="eastAsia"/>
                <w:color w:val="auto"/>
                <w:sz w:val="24"/>
                <w:szCs w:val="24"/>
              </w:rPr>
              <w:t>生态环境保护目标，因此，无需进行生态现状调查。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83" w:hRule="atLeast"/>
        </w:trPr>
        <w:tc>
          <w:tcPr>
            <w:tcW w:w="462" w:type="dxa"/>
            <w:noWrap w:val="0"/>
            <w:vAlign w:val="center"/>
          </w:tcPr>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保护</w:t>
            </w:r>
          </w:p>
          <w:p>
            <w:pPr>
              <w:adjustRightInd w:val="0"/>
              <w:snapToGrid w:val="0"/>
              <w:jc w:val="center"/>
              <w:rPr>
                <w:color w:val="auto"/>
                <w:kern w:val="0"/>
                <w:szCs w:val="21"/>
              </w:rPr>
            </w:pPr>
            <w:r>
              <w:rPr>
                <w:color w:val="auto"/>
                <w:kern w:val="0"/>
                <w:sz w:val="24"/>
              </w:rPr>
              <w:t>目标</w:t>
            </w:r>
          </w:p>
        </w:tc>
        <w:tc>
          <w:tcPr>
            <w:tcW w:w="8599" w:type="dxa"/>
            <w:noWrap w:val="0"/>
            <w:vAlign w:val="center"/>
          </w:tcPr>
          <w:p>
            <w:pPr>
              <w:pStyle w:val="78"/>
              <w:widowControl w:val="0"/>
              <w:spacing w:before="0" w:beforeLines="0" w:after="0" w:afterLines="0"/>
              <w:ind w:firstLine="480"/>
              <w:rPr>
                <w:color w:val="auto"/>
                <w:sz w:val="24"/>
                <w:szCs w:val="24"/>
              </w:rPr>
            </w:pPr>
            <w:r>
              <w:rPr>
                <w:color w:val="auto"/>
                <w:sz w:val="24"/>
                <w:szCs w:val="24"/>
              </w:rPr>
              <w:t>1、</w:t>
            </w:r>
            <w:r>
              <w:rPr>
                <w:rFonts w:hint="eastAsia"/>
                <w:color w:val="auto"/>
                <w:sz w:val="24"/>
                <w:szCs w:val="24"/>
              </w:rPr>
              <w:t>大气环境</w:t>
            </w:r>
            <w:r>
              <w:rPr>
                <w:color w:val="auto"/>
                <w:sz w:val="24"/>
                <w:szCs w:val="24"/>
              </w:rPr>
              <w:t>：大气环境保护目标为项目所在</w:t>
            </w:r>
            <w:r>
              <w:rPr>
                <w:rFonts w:hint="eastAsia"/>
                <w:color w:val="auto"/>
                <w:sz w:val="24"/>
                <w:szCs w:val="24"/>
              </w:rPr>
              <w:t>地厂界外500m范围内区域</w:t>
            </w:r>
            <w:r>
              <w:rPr>
                <w:color w:val="auto"/>
                <w:sz w:val="24"/>
                <w:szCs w:val="24"/>
              </w:rPr>
              <w:t>敏感点，环境空气应符合《环境空气质量标准》（GB3095-2012）二级标准。</w:t>
            </w:r>
          </w:p>
          <w:p>
            <w:pPr>
              <w:pStyle w:val="78"/>
              <w:widowControl w:val="0"/>
              <w:spacing w:before="0" w:beforeLines="0" w:after="0" w:afterLines="0"/>
              <w:ind w:firstLine="480"/>
              <w:rPr>
                <w:color w:val="auto"/>
                <w:sz w:val="24"/>
                <w:szCs w:val="24"/>
              </w:rPr>
            </w:pPr>
            <w:r>
              <w:rPr>
                <w:color w:val="auto"/>
                <w:sz w:val="24"/>
                <w:szCs w:val="24"/>
              </w:rPr>
              <w:t>2、地表水：地表水环境保护目标为厂界西面</w:t>
            </w:r>
            <w:r>
              <w:rPr>
                <w:rFonts w:hint="eastAsia"/>
                <w:color w:val="auto"/>
                <w:sz w:val="24"/>
                <w:szCs w:val="24"/>
                <w:lang w:val="en-US" w:eastAsia="zh-CN"/>
              </w:rPr>
              <w:t>1518</w:t>
            </w:r>
            <w:r>
              <w:rPr>
                <w:color w:val="auto"/>
                <w:sz w:val="24"/>
                <w:szCs w:val="24"/>
              </w:rPr>
              <w:t>m的</w:t>
            </w:r>
            <w:r>
              <w:rPr>
                <w:rFonts w:hint="eastAsia"/>
                <w:color w:val="auto"/>
                <w:sz w:val="24"/>
                <w:szCs w:val="24"/>
                <w:lang w:val="en-US" w:eastAsia="zh-CN"/>
              </w:rPr>
              <w:t>岷江</w:t>
            </w:r>
            <w:r>
              <w:rPr>
                <w:color w:val="auto"/>
                <w:sz w:val="24"/>
                <w:szCs w:val="24"/>
              </w:rPr>
              <w:t>，应使其符合《地表水环境质量标准》（GB3838-2002）Ⅲ类水域标准要求。</w:t>
            </w:r>
          </w:p>
          <w:p>
            <w:pPr>
              <w:pStyle w:val="78"/>
              <w:widowControl w:val="0"/>
              <w:spacing w:before="0" w:beforeLines="0" w:after="0" w:afterLines="0"/>
              <w:ind w:firstLine="480"/>
              <w:rPr>
                <w:color w:val="auto"/>
                <w:sz w:val="24"/>
                <w:szCs w:val="24"/>
              </w:rPr>
            </w:pPr>
            <w:r>
              <w:rPr>
                <w:color w:val="auto"/>
                <w:sz w:val="24"/>
                <w:szCs w:val="24"/>
              </w:rPr>
              <w:t>3、声环境：项目厂界外50m范围内</w:t>
            </w:r>
            <w:r>
              <w:rPr>
                <w:rFonts w:hint="eastAsia"/>
                <w:color w:val="auto"/>
                <w:sz w:val="24"/>
                <w:szCs w:val="24"/>
              </w:rPr>
              <w:t>无环境</w:t>
            </w:r>
            <w:r>
              <w:rPr>
                <w:color w:val="auto"/>
                <w:sz w:val="24"/>
                <w:szCs w:val="24"/>
              </w:rPr>
              <w:t>敏感点，</w:t>
            </w:r>
            <w:r>
              <w:rPr>
                <w:rFonts w:hint="eastAsia"/>
                <w:color w:val="auto"/>
                <w:sz w:val="24"/>
                <w:szCs w:val="24"/>
              </w:rPr>
              <w:t>因此，本项目</w:t>
            </w:r>
            <w:r>
              <w:rPr>
                <w:color w:val="auto"/>
                <w:sz w:val="24"/>
                <w:szCs w:val="24"/>
              </w:rPr>
              <w:t>区域声学环境质量应符合《声环境质量标准》（GB3096-2008）3类标准。</w:t>
            </w:r>
          </w:p>
          <w:p>
            <w:pPr>
              <w:pStyle w:val="78"/>
              <w:widowControl w:val="0"/>
              <w:spacing w:before="0" w:beforeLines="0" w:after="0" w:afterLines="0"/>
              <w:ind w:firstLine="480"/>
              <w:rPr>
                <w:rFonts w:hint="eastAsia"/>
                <w:color w:val="auto"/>
                <w:sz w:val="24"/>
                <w:szCs w:val="24"/>
              </w:rPr>
            </w:pPr>
            <w:r>
              <w:rPr>
                <w:rFonts w:hint="eastAsia"/>
                <w:color w:val="auto"/>
                <w:sz w:val="24"/>
                <w:szCs w:val="24"/>
              </w:rPr>
              <w:t>4、地下水环境：项目厂界外500米范围内无地下水集中式饮用水水源、热水、矿泉水、温泉等特殊地下水源。因此，本项目无地下水环境保护目标。</w:t>
            </w:r>
          </w:p>
          <w:p>
            <w:pPr>
              <w:pStyle w:val="78"/>
              <w:widowControl w:val="0"/>
              <w:spacing w:before="0" w:beforeLines="0" w:after="0" w:afterLines="0"/>
              <w:ind w:firstLine="480"/>
              <w:rPr>
                <w:color w:val="auto"/>
                <w:sz w:val="24"/>
                <w:szCs w:val="24"/>
              </w:rPr>
            </w:pPr>
            <w:r>
              <w:rPr>
                <w:rFonts w:hint="eastAsia"/>
                <w:color w:val="auto"/>
                <w:sz w:val="24"/>
                <w:szCs w:val="24"/>
              </w:rPr>
              <w:t>5、生态环境：本项目位于乐山市犍为县舞雩镇石马坝园区内，项目建设不涉及新增用地，用地范围内无生态环境保护目标。</w:t>
            </w:r>
          </w:p>
          <w:p>
            <w:pPr>
              <w:pStyle w:val="7"/>
              <w:spacing w:beforeLines="0"/>
              <w:ind w:firstLine="422"/>
              <w:rPr>
                <w:rFonts w:ascii="Times New Roman" w:hAnsi="Times New Roman"/>
                <w:b/>
                <w:bCs/>
                <w:color w:val="auto"/>
                <w:sz w:val="21"/>
                <w:szCs w:val="21"/>
              </w:rPr>
            </w:pPr>
            <w:r>
              <w:rPr>
                <w:rFonts w:ascii="Times New Roman" w:hAnsi="Times New Roman" w:cs="Times New Roman"/>
                <w:b/>
                <w:bCs/>
                <w:color w:val="auto"/>
                <w:szCs w:val="21"/>
              </w:rPr>
              <w:t>表3-</w:t>
            </w:r>
            <w:r>
              <w:rPr>
                <w:rFonts w:hint="eastAsia" w:ascii="Times New Roman" w:hAnsi="Times New Roman" w:cs="Times New Roman"/>
                <w:b/>
                <w:bCs/>
                <w:color w:val="auto"/>
                <w:szCs w:val="21"/>
                <w:lang w:val="en-US" w:eastAsia="zh-CN"/>
              </w:rPr>
              <w:t>13</w:t>
            </w:r>
            <w:r>
              <w:rPr>
                <w:rFonts w:ascii="Times New Roman" w:hAnsi="Times New Roman" w:cs="Times New Roman"/>
                <w:b/>
                <w:bCs/>
                <w:color w:val="auto"/>
                <w:szCs w:val="21"/>
              </w:rPr>
              <w:t xml:space="preserve">  主要环境保护目标</w:t>
            </w:r>
            <w:r>
              <w:rPr>
                <w:rFonts w:ascii="Times New Roman" w:hAnsi="Times New Roman"/>
                <w:b/>
                <w:bCs/>
                <w:snapToGrid w:val="0"/>
                <w:color w:val="auto"/>
                <w:sz w:val="21"/>
                <w:szCs w:val="21"/>
              </w:rPr>
              <w:t>情况一览表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8"/>
              <w:gridCol w:w="654"/>
              <w:gridCol w:w="1090"/>
              <w:gridCol w:w="1052"/>
              <w:gridCol w:w="649"/>
              <w:gridCol w:w="592"/>
              <w:gridCol w:w="1495"/>
              <w:gridCol w:w="960"/>
              <w:gridCol w:w="14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37" w:type="pct"/>
                  <w:vMerge w:val="restart"/>
                  <w:shd w:val="clear" w:color="auto" w:fill="DCE6F2" w:themeFill="accent1" w:themeFillTint="32"/>
                  <w:noWrap w:val="0"/>
                  <w:vAlign w:val="center"/>
                </w:tcPr>
                <w:p>
                  <w:pPr>
                    <w:adjustRightInd w:val="0"/>
                    <w:snapToGrid w:val="0"/>
                    <w:spacing w:line="240" w:lineRule="auto"/>
                    <w:jc w:val="center"/>
                    <w:rPr>
                      <w:rFonts w:ascii="Times New Roman" w:hAnsi="Times New Roman"/>
                      <w:b/>
                      <w:bCs/>
                      <w:snapToGrid w:val="0"/>
                      <w:color w:val="auto"/>
                      <w:kern w:val="0"/>
                      <w:sz w:val="18"/>
                      <w:szCs w:val="18"/>
                    </w:rPr>
                  </w:pPr>
                  <w:r>
                    <w:rPr>
                      <w:rFonts w:ascii="Times New Roman" w:hAnsi="Times New Roman"/>
                      <w:b/>
                      <w:bCs/>
                      <w:snapToGrid w:val="0"/>
                      <w:color w:val="auto"/>
                      <w:kern w:val="0"/>
                      <w:sz w:val="18"/>
                      <w:szCs w:val="18"/>
                    </w:rPr>
                    <w:t>环境要素</w:t>
                  </w:r>
                </w:p>
              </w:tc>
              <w:tc>
                <w:tcPr>
                  <w:tcW w:w="390" w:type="pct"/>
                  <w:vMerge w:val="restart"/>
                  <w:shd w:val="clear" w:color="auto" w:fill="DCE6F2" w:themeFill="accent1" w:themeFillTint="32"/>
                  <w:noWrap w:val="0"/>
                  <w:vAlign w:val="center"/>
                </w:tcPr>
                <w:p>
                  <w:pPr>
                    <w:adjustRightInd w:val="0"/>
                    <w:snapToGrid w:val="0"/>
                    <w:spacing w:line="240" w:lineRule="auto"/>
                    <w:jc w:val="center"/>
                    <w:rPr>
                      <w:rFonts w:ascii="Times New Roman" w:hAnsi="Times New Roman"/>
                      <w:b/>
                      <w:bCs/>
                      <w:snapToGrid w:val="0"/>
                      <w:color w:val="auto"/>
                      <w:kern w:val="0"/>
                      <w:sz w:val="18"/>
                      <w:szCs w:val="18"/>
                    </w:rPr>
                  </w:pPr>
                  <w:r>
                    <w:rPr>
                      <w:rFonts w:ascii="Times New Roman" w:hAnsi="Times New Roman"/>
                      <w:b/>
                      <w:bCs/>
                      <w:snapToGrid w:val="0"/>
                      <w:color w:val="auto"/>
                      <w:kern w:val="0"/>
                      <w:sz w:val="18"/>
                      <w:szCs w:val="18"/>
                    </w:rPr>
                    <w:t>名称</w:t>
                  </w:r>
                </w:p>
              </w:tc>
              <w:tc>
                <w:tcPr>
                  <w:tcW w:w="1277" w:type="pct"/>
                  <w:gridSpan w:val="2"/>
                  <w:shd w:val="clear" w:color="auto" w:fill="DCE6F2" w:themeFill="accent1" w:themeFillTint="32"/>
                  <w:noWrap w:val="0"/>
                  <w:vAlign w:val="center"/>
                </w:tcPr>
                <w:p>
                  <w:pPr>
                    <w:adjustRightInd w:val="0"/>
                    <w:snapToGrid w:val="0"/>
                    <w:spacing w:line="240" w:lineRule="auto"/>
                    <w:jc w:val="center"/>
                    <w:rPr>
                      <w:rFonts w:ascii="Times New Roman" w:hAnsi="Times New Roman"/>
                      <w:b/>
                      <w:bCs/>
                      <w:snapToGrid w:val="0"/>
                      <w:color w:val="auto"/>
                      <w:kern w:val="0"/>
                      <w:sz w:val="18"/>
                      <w:szCs w:val="18"/>
                    </w:rPr>
                  </w:pPr>
                  <w:r>
                    <w:rPr>
                      <w:rFonts w:ascii="Times New Roman" w:hAnsi="Times New Roman"/>
                      <w:b/>
                      <w:bCs/>
                      <w:snapToGrid w:val="0"/>
                      <w:color w:val="auto"/>
                      <w:kern w:val="0"/>
                      <w:sz w:val="18"/>
                      <w:szCs w:val="18"/>
                    </w:rPr>
                    <w:t>坐标</w:t>
                  </w:r>
                </w:p>
              </w:tc>
              <w:tc>
                <w:tcPr>
                  <w:tcW w:w="387" w:type="pct"/>
                  <w:vMerge w:val="restart"/>
                  <w:shd w:val="clear" w:color="auto" w:fill="DCE6F2" w:themeFill="accent1" w:themeFillTint="32"/>
                  <w:noWrap w:val="0"/>
                  <w:vAlign w:val="center"/>
                </w:tcPr>
                <w:p>
                  <w:pPr>
                    <w:adjustRightInd w:val="0"/>
                    <w:snapToGrid w:val="0"/>
                    <w:spacing w:line="240" w:lineRule="auto"/>
                    <w:jc w:val="center"/>
                    <w:rPr>
                      <w:rFonts w:ascii="Times New Roman" w:hAnsi="Times New Roman"/>
                      <w:b/>
                      <w:bCs/>
                      <w:snapToGrid w:val="0"/>
                      <w:color w:val="auto"/>
                      <w:kern w:val="0"/>
                      <w:sz w:val="18"/>
                      <w:szCs w:val="18"/>
                    </w:rPr>
                  </w:pPr>
                  <w:r>
                    <w:rPr>
                      <w:rFonts w:ascii="Times New Roman" w:hAnsi="Times New Roman"/>
                      <w:b/>
                      <w:bCs/>
                      <w:snapToGrid w:val="0"/>
                      <w:color w:val="auto"/>
                      <w:kern w:val="0"/>
                      <w:sz w:val="18"/>
                      <w:szCs w:val="18"/>
                    </w:rPr>
                    <w:t>保护目标</w:t>
                  </w:r>
                </w:p>
              </w:tc>
              <w:tc>
                <w:tcPr>
                  <w:tcW w:w="353" w:type="pct"/>
                  <w:vMerge w:val="restart"/>
                  <w:shd w:val="clear" w:color="auto" w:fill="DCE6F2" w:themeFill="accent1" w:themeFillTint="32"/>
                  <w:noWrap w:val="0"/>
                  <w:vAlign w:val="center"/>
                </w:tcPr>
                <w:p>
                  <w:pPr>
                    <w:adjustRightInd w:val="0"/>
                    <w:snapToGrid w:val="0"/>
                    <w:spacing w:line="240" w:lineRule="auto"/>
                    <w:jc w:val="center"/>
                    <w:rPr>
                      <w:rFonts w:ascii="Times New Roman" w:hAnsi="Times New Roman"/>
                      <w:b/>
                      <w:bCs/>
                      <w:snapToGrid w:val="0"/>
                      <w:color w:val="auto"/>
                      <w:kern w:val="0"/>
                      <w:sz w:val="18"/>
                      <w:szCs w:val="18"/>
                    </w:rPr>
                  </w:pPr>
                  <w:r>
                    <w:rPr>
                      <w:rFonts w:ascii="Times New Roman" w:hAnsi="Times New Roman"/>
                      <w:b/>
                      <w:bCs/>
                      <w:snapToGrid w:val="0"/>
                      <w:color w:val="auto"/>
                      <w:kern w:val="0"/>
                      <w:sz w:val="18"/>
                      <w:szCs w:val="18"/>
                    </w:rPr>
                    <w:t>保护内容</w:t>
                  </w:r>
                </w:p>
              </w:tc>
              <w:tc>
                <w:tcPr>
                  <w:tcW w:w="891" w:type="pct"/>
                  <w:vMerge w:val="restart"/>
                  <w:shd w:val="clear" w:color="auto" w:fill="DCE6F2" w:themeFill="accent1" w:themeFillTint="32"/>
                  <w:noWrap w:val="0"/>
                  <w:vAlign w:val="center"/>
                </w:tcPr>
                <w:p>
                  <w:pPr>
                    <w:adjustRightInd w:val="0"/>
                    <w:snapToGrid w:val="0"/>
                    <w:spacing w:line="240" w:lineRule="auto"/>
                    <w:jc w:val="center"/>
                    <w:rPr>
                      <w:rFonts w:ascii="Times New Roman" w:hAnsi="Times New Roman"/>
                      <w:b/>
                      <w:bCs/>
                      <w:snapToGrid w:val="0"/>
                      <w:color w:val="auto"/>
                      <w:kern w:val="0"/>
                      <w:sz w:val="18"/>
                      <w:szCs w:val="18"/>
                    </w:rPr>
                  </w:pPr>
                  <w:r>
                    <w:rPr>
                      <w:rFonts w:ascii="Times New Roman" w:hAnsi="Times New Roman"/>
                      <w:b/>
                      <w:bCs/>
                      <w:snapToGrid w:val="0"/>
                      <w:color w:val="auto"/>
                      <w:kern w:val="0"/>
                      <w:sz w:val="18"/>
                      <w:szCs w:val="18"/>
                    </w:rPr>
                    <w:t>环境功能区划</w:t>
                  </w:r>
                </w:p>
              </w:tc>
              <w:tc>
                <w:tcPr>
                  <w:tcW w:w="572" w:type="pct"/>
                  <w:vMerge w:val="restart"/>
                  <w:shd w:val="clear" w:color="auto" w:fill="DCE6F2" w:themeFill="accent1" w:themeFillTint="32"/>
                  <w:noWrap w:val="0"/>
                  <w:vAlign w:val="center"/>
                </w:tcPr>
                <w:p>
                  <w:pPr>
                    <w:adjustRightInd w:val="0"/>
                    <w:snapToGrid w:val="0"/>
                    <w:spacing w:line="240" w:lineRule="auto"/>
                    <w:jc w:val="center"/>
                    <w:rPr>
                      <w:rFonts w:ascii="Times New Roman" w:hAnsi="Times New Roman"/>
                      <w:b/>
                      <w:bCs/>
                      <w:snapToGrid w:val="0"/>
                      <w:color w:val="auto"/>
                      <w:kern w:val="0"/>
                      <w:sz w:val="18"/>
                      <w:szCs w:val="18"/>
                    </w:rPr>
                  </w:pPr>
                  <w:r>
                    <w:rPr>
                      <w:rFonts w:ascii="Times New Roman" w:hAnsi="Times New Roman"/>
                      <w:b/>
                      <w:bCs/>
                      <w:snapToGrid w:val="0"/>
                      <w:color w:val="auto"/>
                      <w:kern w:val="0"/>
                      <w:sz w:val="18"/>
                      <w:szCs w:val="18"/>
                    </w:rPr>
                    <w:t>相对厂址方位</w:t>
                  </w:r>
                </w:p>
              </w:tc>
              <w:tc>
                <w:tcPr>
                  <w:tcW w:w="890" w:type="pct"/>
                  <w:vMerge w:val="restart"/>
                  <w:shd w:val="clear" w:color="auto" w:fill="DCE6F2" w:themeFill="accent1" w:themeFillTint="32"/>
                  <w:noWrap w:val="0"/>
                  <w:vAlign w:val="center"/>
                </w:tcPr>
                <w:p>
                  <w:pPr>
                    <w:adjustRightInd w:val="0"/>
                    <w:snapToGrid w:val="0"/>
                    <w:spacing w:line="240" w:lineRule="auto"/>
                    <w:jc w:val="center"/>
                    <w:rPr>
                      <w:rFonts w:ascii="Times New Roman" w:hAnsi="Times New Roman"/>
                      <w:b/>
                      <w:bCs/>
                      <w:snapToGrid w:val="0"/>
                      <w:color w:val="auto"/>
                      <w:kern w:val="0"/>
                      <w:sz w:val="18"/>
                      <w:szCs w:val="18"/>
                    </w:rPr>
                  </w:pPr>
                  <w:r>
                    <w:rPr>
                      <w:rFonts w:ascii="Times New Roman" w:hAnsi="Times New Roman"/>
                      <w:b/>
                      <w:bCs/>
                      <w:snapToGrid w:val="0"/>
                      <w:color w:val="auto"/>
                      <w:kern w:val="0"/>
                      <w:sz w:val="18"/>
                      <w:szCs w:val="18"/>
                    </w:rPr>
                    <w:t>相对厂界</w:t>
                  </w:r>
                  <w:r>
                    <w:rPr>
                      <w:rFonts w:hint="eastAsia" w:ascii="Times New Roman" w:hAnsi="Times New Roman"/>
                      <w:b/>
                      <w:bCs/>
                      <w:snapToGrid w:val="0"/>
                      <w:color w:val="auto"/>
                      <w:kern w:val="0"/>
                      <w:sz w:val="18"/>
                      <w:szCs w:val="18"/>
                      <w:lang w:val="en-US" w:eastAsia="zh-CN"/>
                    </w:rPr>
                    <w:t>最近</w:t>
                  </w:r>
                  <w:r>
                    <w:rPr>
                      <w:rFonts w:ascii="Times New Roman" w:hAnsi="Times New Roman"/>
                      <w:b/>
                      <w:bCs/>
                      <w:snapToGrid w:val="0"/>
                      <w:color w:val="auto"/>
                      <w:kern w:val="0"/>
                      <w:sz w:val="18"/>
                      <w:szCs w:val="18"/>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Merge w:val="continue"/>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390" w:type="pct"/>
                  <w:vMerge w:val="continue"/>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650"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snapToGrid w:val="0"/>
                      <w:color w:val="auto"/>
                      <w:kern w:val="0"/>
                      <w:sz w:val="18"/>
                      <w:szCs w:val="18"/>
                    </w:rPr>
                  </w:pPr>
                  <w:r>
                    <w:rPr>
                      <w:rFonts w:ascii="Times New Roman" w:hAnsi="Times New Roman"/>
                      <w:b/>
                      <w:bCs/>
                      <w:snapToGrid w:val="0"/>
                      <w:color w:val="auto"/>
                      <w:kern w:val="0"/>
                      <w:sz w:val="18"/>
                      <w:szCs w:val="18"/>
                    </w:rPr>
                    <w:t>X/°</w:t>
                  </w:r>
                </w:p>
              </w:tc>
              <w:tc>
                <w:tcPr>
                  <w:tcW w:w="626"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snapToGrid w:val="0"/>
                      <w:color w:val="auto"/>
                      <w:kern w:val="0"/>
                      <w:sz w:val="18"/>
                      <w:szCs w:val="18"/>
                    </w:rPr>
                  </w:pPr>
                  <w:r>
                    <w:rPr>
                      <w:rFonts w:ascii="Times New Roman" w:hAnsi="Times New Roman"/>
                      <w:b/>
                      <w:bCs/>
                      <w:snapToGrid w:val="0"/>
                      <w:color w:val="auto"/>
                      <w:kern w:val="0"/>
                      <w:sz w:val="18"/>
                      <w:szCs w:val="18"/>
                    </w:rPr>
                    <w:t>Y/°</w:t>
                  </w:r>
                </w:p>
              </w:tc>
              <w:tc>
                <w:tcPr>
                  <w:tcW w:w="387" w:type="pct"/>
                  <w:vMerge w:val="continue"/>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353" w:type="pct"/>
                  <w:vMerge w:val="continue"/>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891" w:type="pct"/>
                  <w:vMerge w:val="continue"/>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572" w:type="pct"/>
                  <w:vMerge w:val="continue"/>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890" w:type="pct"/>
                  <w:vMerge w:val="continue"/>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Merge w:val="restar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环境空气</w:t>
                  </w:r>
                </w:p>
              </w:tc>
              <w:tc>
                <w:tcPr>
                  <w:tcW w:w="3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大湾幼儿园</w:t>
                  </w:r>
                </w:p>
              </w:tc>
              <w:tc>
                <w:tcPr>
                  <w:tcW w:w="65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103.860825</w:t>
                  </w:r>
                </w:p>
              </w:tc>
              <w:tc>
                <w:tcPr>
                  <w:tcW w:w="626"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29.275059</w:t>
                  </w:r>
                </w:p>
              </w:tc>
              <w:tc>
                <w:tcPr>
                  <w:tcW w:w="38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学校师生</w:t>
                  </w:r>
                </w:p>
              </w:tc>
              <w:tc>
                <w:tcPr>
                  <w:tcW w:w="353" w:type="pct"/>
                  <w:vMerge w:val="restar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环境空气、风险、噪声</w:t>
                  </w:r>
                </w:p>
              </w:tc>
              <w:tc>
                <w:tcPr>
                  <w:tcW w:w="891" w:type="pct"/>
                  <w:vMerge w:val="restar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环境空气质量二类区</w:t>
                  </w:r>
                </w:p>
              </w:tc>
              <w:tc>
                <w:tcPr>
                  <w:tcW w:w="572"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北侧</w:t>
                  </w:r>
                </w:p>
              </w:tc>
              <w:tc>
                <w:tcPr>
                  <w:tcW w:w="8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403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Merge w:val="continue"/>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3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沙咀塘（约300人）</w:t>
                  </w:r>
                </w:p>
              </w:tc>
              <w:tc>
                <w:tcPr>
                  <w:tcW w:w="65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103.863606</w:t>
                  </w:r>
                </w:p>
              </w:tc>
              <w:tc>
                <w:tcPr>
                  <w:tcW w:w="626"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29.271163</w:t>
                  </w:r>
                </w:p>
              </w:tc>
              <w:tc>
                <w:tcPr>
                  <w:tcW w:w="38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散居农户</w:t>
                  </w:r>
                </w:p>
              </w:tc>
              <w:tc>
                <w:tcPr>
                  <w:tcW w:w="353" w:type="pct"/>
                  <w:vMerge w:val="continue"/>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891" w:type="pct"/>
                  <w:vMerge w:val="continue"/>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572"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东侧</w:t>
                  </w:r>
                </w:p>
              </w:tc>
              <w:tc>
                <w:tcPr>
                  <w:tcW w:w="890" w:type="pct"/>
                  <w:noWrap w:val="0"/>
                  <w:vAlign w:val="center"/>
                </w:tcPr>
                <w:p>
                  <w:pPr>
                    <w:adjustRightInd w:val="0"/>
                    <w:snapToGrid w:val="0"/>
                    <w:spacing w:line="240" w:lineRule="auto"/>
                    <w:jc w:val="center"/>
                    <w:rPr>
                      <w:rFonts w:hint="default" w:ascii="Times New Roman" w:hAnsi="Times New Roman" w:eastAsia="宋体"/>
                      <w:snapToGrid w:val="0"/>
                      <w:color w:val="auto"/>
                      <w:kern w:val="0"/>
                      <w:sz w:val="18"/>
                      <w:szCs w:val="18"/>
                      <w:lang w:val="en-US" w:eastAsia="zh-CN"/>
                    </w:rPr>
                  </w:pPr>
                  <w:r>
                    <w:rPr>
                      <w:rFonts w:hint="eastAsia"/>
                      <w:snapToGrid w:val="0"/>
                      <w:color w:val="auto"/>
                      <w:kern w:val="0"/>
                      <w:sz w:val="18"/>
                      <w:szCs w:val="18"/>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地表水</w:t>
                  </w:r>
                </w:p>
              </w:tc>
              <w:tc>
                <w:tcPr>
                  <w:tcW w:w="3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岷江</w:t>
                  </w:r>
                </w:p>
              </w:tc>
              <w:tc>
                <w:tcPr>
                  <w:tcW w:w="65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103.844102</w:t>
                  </w:r>
                </w:p>
              </w:tc>
              <w:tc>
                <w:tcPr>
                  <w:tcW w:w="626"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29.271365</w:t>
                  </w:r>
                </w:p>
              </w:tc>
              <w:tc>
                <w:tcPr>
                  <w:tcW w:w="38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岷江</w:t>
                  </w:r>
                </w:p>
              </w:tc>
              <w:tc>
                <w:tcPr>
                  <w:tcW w:w="353"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地表水，风险</w:t>
                  </w:r>
                </w:p>
              </w:tc>
              <w:tc>
                <w:tcPr>
                  <w:tcW w:w="891"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地表水Ⅲ</w:t>
                  </w:r>
                </w:p>
              </w:tc>
              <w:tc>
                <w:tcPr>
                  <w:tcW w:w="572" w:type="pct"/>
                  <w:noWrap w:val="0"/>
                  <w:vAlign w:val="center"/>
                </w:tcPr>
                <w:p>
                  <w:pPr>
                    <w:adjustRightInd w:val="0"/>
                    <w:snapToGrid w:val="0"/>
                    <w:spacing w:line="240" w:lineRule="auto"/>
                    <w:jc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snapToGrid w:val="0"/>
                      <w:color w:val="auto"/>
                      <w:kern w:val="0"/>
                      <w:sz w:val="18"/>
                      <w:szCs w:val="18"/>
                      <w:lang w:val="en-US" w:eastAsia="zh-CN"/>
                    </w:rPr>
                    <w:t>南侧</w:t>
                  </w:r>
                </w:p>
              </w:tc>
              <w:tc>
                <w:tcPr>
                  <w:tcW w:w="8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1100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27" w:type="pct"/>
                  <w:gridSpan w:val="2"/>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犍为县备用生活饮用水取水口</w:t>
                  </w:r>
                </w:p>
              </w:tc>
              <w:tc>
                <w:tcPr>
                  <w:tcW w:w="65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103.895596</w:t>
                  </w:r>
                </w:p>
              </w:tc>
              <w:tc>
                <w:tcPr>
                  <w:tcW w:w="626"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29.240619</w:t>
                  </w:r>
                </w:p>
              </w:tc>
              <w:tc>
                <w:tcPr>
                  <w:tcW w:w="38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饮用水源取水口</w:t>
                  </w:r>
                </w:p>
              </w:tc>
              <w:tc>
                <w:tcPr>
                  <w:tcW w:w="353"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地表水、风险</w:t>
                  </w:r>
                </w:p>
              </w:tc>
              <w:tc>
                <w:tcPr>
                  <w:tcW w:w="891"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c>
                <w:tcPr>
                  <w:tcW w:w="572"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西北侧</w:t>
                  </w:r>
                </w:p>
              </w:tc>
              <w:tc>
                <w:tcPr>
                  <w:tcW w:w="8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4537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gridSpan w:val="2"/>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犍为县备用生活饮用水保护区</w:t>
                  </w:r>
                </w:p>
              </w:tc>
              <w:tc>
                <w:tcPr>
                  <w:tcW w:w="65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103.903621</w:t>
                  </w:r>
                </w:p>
              </w:tc>
              <w:tc>
                <w:tcPr>
                  <w:tcW w:w="626"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29.241853</w:t>
                  </w:r>
                </w:p>
              </w:tc>
              <w:tc>
                <w:tcPr>
                  <w:tcW w:w="38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饮用水源保护区</w:t>
                  </w:r>
                </w:p>
              </w:tc>
              <w:tc>
                <w:tcPr>
                  <w:tcW w:w="353"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地表水、风险</w:t>
                  </w:r>
                </w:p>
              </w:tc>
              <w:tc>
                <w:tcPr>
                  <w:tcW w:w="891"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c>
                <w:tcPr>
                  <w:tcW w:w="572"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西侧</w:t>
                  </w:r>
                </w:p>
              </w:tc>
              <w:tc>
                <w:tcPr>
                  <w:tcW w:w="8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980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gridSpan w:val="2"/>
                  <w:noWrap w:val="0"/>
                  <w:vAlign w:val="center"/>
                </w:tcPr>
                <w:p>
                  <w:pPr>
                    <w:adjustRightInd w:val="0"/>
                    <w:snapToGrid w:val="0"/>
                    <w:spacing w:line="240" w:lineRule="auto"/>
                    <w:jc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snapToGrid w:val="0"/>
                      <w:color w:val="auto"/>
                      <w:kern w:val="0"/>
                      <w:sz w:val="18"/>
                      <w:szCs w:val="18"/>
                      <w:lang w:val="en-US" w:eastAsia="zh-CN"/>
                    </w:rPr>
                    <w:t>珍稀鱼类保护区</w:t>
                  </w:r>
                </w:p>
              </w:tc>
              <w:tc>
                <w:tcPr>
                  <w:tcW w:w="65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626"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38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353"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891"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572"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c>
                <w:tcPr>
                  <w:tcW w:w="8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地下水</w:t>
                  </w:r>
                </w:p>
              </w:tc>
              <w:tc>
                <w:tcPr>
                  <w:tcW w:w="3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厂址区域</w:t>
                  </w:r>
                </w:p>
              </w:tc>
              <w:tc>
                <w:tcPr>
                  <w:tcW w:w="65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c>
                <w:tcPr>
                  <w:tcW w:w="626"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c>
                <w:tcPr>
                  <w:tcW w:w="38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分散式饮用水源</w:t>
                  </w:r>
                </w:p>
              </w:tc>
              <w:tc>
                <w:tcPr>
                  <w:tcW w:w="353"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地下水</w:t>
                  </w:r>
                </w:p>
              </w:tc>
              <w:tc>
                <w:tcPr>
                  <w:tcW w:w="891" w:type="pct"/>
                  <w:noWrap w:val="0"/>
                  <w:vAlign w:val="center"/>
                </w:tcPr>
                <w:p>
                  <w:pPr>
                    <w:adjustRightInd w:val="0"/>
                    <w:snapToGrid w:val="0"/>
                    <w:spacing w:line="240" w:lineRule="auto"/>
                    <w:jc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snapToGrid w:val="0"/>
                      <w:color w:val="auto"/>
                      <w:kern w:val="0"/>
                      <w:sz w:val="18"/>
                      <w:szCs w:val="18"/>
                      <w:lang w:val="en-US" w:eastAsia="zh-CN"/>
                    </w:rPr>
                    <w:t>维持现状</w:t>
                  </w:r>
                </w:p>
              </w:tc>
              <w:tc>
                <w:tcPr>
                  <w:tcW w:w="572"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c>
                <w:tcPr>
                  <w:tcW w:w="8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声环境</w:t>
                  </w:r>
                </w:p>
              </w:tc>
              <w:tc>
                <w:tcPr>
                  <w:tcW w:w="3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厂址区域</w:t>
                  </w:r>
                </w:p>
              </w:tc>
              <w:tc>
                <w:tcPr>
                  <w:tcW w:w="65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c>
                <w:tcPr>
                  <w:tcW w:w="626"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c>
                <w:tcPr>
                  <w:tcW w:w="38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周边200m</w:t>
                  </w:r>
                </w:p>
              </w:tc>
              <w:tc>
                <w:tcPr>
                  <w:tcW w:w="353"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声环境</w:t>
                  </w:r>
                </w:p>
              </w:tc>
              <w:tc>
                <w:tcPr>
                  <w:tcW w:w="891"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声环境质量3类</w:t>
                  </w:r>
                </w:p>
              </w:tc>
              <w:tc>
                <w:tcPr>
                  <w:tcW w:w="572"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c>
                <w:tcPr>
                  <w:tcW w:w="8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土壤</w:t>
                  </w:r>
                </w:p>
              </w:tc>
              <w:tc>
                <w:tcPr>
                  <w:tcW w:w="3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厂址区域</w:t>
                  </w:r>
                </w:p>
              </w:tc>
              <w:tc>
                <w:tcPr>
                  <w:tcW w:w="65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c>
                <w:tcPr>
                  <w:tcW w:w="626"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c>
                <w:tcPr>
                  <w:tcW w:w="387"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建设用地</w:t>
                  </w:r>
                </w:p>
              </w:tc>
              <w:tc>
                <w:tcPr>
                  <w:tcW w:w="353"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土壤</w:t>
                  </w:r>
                </w:p>
              </w:tc>
              <w:tc>
                <w:tcPr>
                  <w:tcW w:w="891"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GB36600-2018中的第二类用地筛选值</w:t>
                  </w:r>
                </w:p>
              </w:tc>
              <w:tc>
                <w:tcPr>
                  <w:tcW w:w="572"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c>
                <w:tcPr>
                  <w:tcW w:w="890" w:type="pct"/>
                  <w:noWrap w:val="0"/>
                  <w:vAlign w:val="center"/>
                </w:tcPr>
                <w:p>
                  <w:pPr>
                    <w:adjustRightInd w:val="0"/>
                    <w:snapToGrid w:val="0"/>
                    <w:spacing w:line="240" w:lineRule="auto"/>
                    <w:jc w:val="center"/>
                    <w:rPr>
                      <w:rFonts w:ascii="Times New Roman" w:hAnsi="Times New Roman"/>
                      <w:snapToGrid w:val="0"/>
                      <w:color w:val="auto"/>
                      <w:kern w:val="0"/>
                      <w:sz w:val="18"/>
                      <w:szCs w:val="18"/>
                    </w:rPr>
                  </w:pPr>
                  <w:r>
                    <w:rPr>
                      <w:rFonts w:ascii="Times New Roman" w:hAnsi="Times New Roman"/>
                      <w:snapToGrid w:val="0"/>
                      <w:color w:val="auto"/>
                      <w:kern w:val="0"/>
                      <w:sz w:val="18"/>
                      <w:szCs w:val="18"/>
                    </w:rPr>
                    <w:t>/</w:t>
                  </w:r>
                </w:p>
              </w:tc>
            </w:tr>
          </w:tbl>
          <w:p>
            <w:pPr>
              <w:pStyle w:val="19"/>
              <w:ind w:left="0" w:leftChars="0"/>
              <w:rPr>
                <w:rFonts w:ascii="Times New Roman" w:hAnsi="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dxa"/>
            <w:noWrap w:val="0"/>
            <w:tcMar>
              <w:left w:w="28" w:type="dxa"/>
              <w:right w:w="28" w:type="dxa"/>
            </w:tcMar>
            <w:vAlign w:val="center"/>
          </w:tcPr>
          <w:p>
            <w:pPr>
              <w:adjustRightInd w:val="0"/>
              <w:snapToGrid w:val="0"/>
              <w:jc w:val="center"/>
              <w:rPr>
                <w:color w:val="auto"/>
                <w:kern w:val="0"/>
                <w:sz w:val="24"/>
              </w:rPr>
            </w:pPr>
            <w:r>
              <w:rPr>
                <w:color w:val="auto"/>
                <w:kern w:val="0"/>
                <w:sz w:val="24"/>
              </w:rPr>
              <w:t>污染</w:t>
            </w:r>
          </w:p>
          <w:p>
            <w:pPr>
              <w:adjustRightInd w:val="0"/>
              <w:snapToGrid w:val="0"/>
              <w:jc w:val="center"/>
              <w:rPr>
                <w:color w:val="auto"/>
                <w:kern w:val="0"/>
                <w:sz w:val="24"/>
              </w:rPr>
            </w:pPr>
            <w:r>
              <w:rPr>
                <w:color w:val="auto"/>
                <w:kern w:val="0"/>
                <w:sz w:val="24"/>
              </w:rPr>
              <w:t>物排</w:t>
            </w:r>
          </w:p>
          <w:p>
            <w:pPr>
              <w:adjustRightInd w:val="0"/>
              <w:snapToGrid w:val="0"/>
              <w:jc w:val="center"/>
              <w:rPr>
                <w:color w:val="auto"/>
                <w:kern w:val="0"/>
                <w:sz w:val="24"/>
              </w:rPr>
            </w:pPr>
            <w:r>
              <w:rPr>
                <w:color w:val="auto"/>
                <w:kern w:val="0"/>
                <w:sz w:val="24"/>
              </w:rPr>
              <w:t>放控</w:t>
            </w:r>
          </w:p>
          <w:p>
            <w:pPr>
              <w:adjustRightInd w:val="0"/>
              <w:snapToGrid w:val="0"/>
              <w:jc w:val="center"/>
              <w:rPr>
                <w:color w:val="auto"/>
                <w:kern w:val="0"/>
                <w:sz w:val="24"/>
              </w:rPr>
            </w:pPr>
            <w:r>
              <w:rPr>
                <w:color w:val="auto"/>
                <w:kern w:val="0"/>
                <w:sz w:val="24"/>
              </w:rPr>
              <w:t>制标</w:t>
            </w:r>
          </w:p>
          <w:p>
            <w:pPr>
              <w:adjustRightInd w:val="0"/>
              <w:snapToGrid w:val="0"/>
              <w:jc w:val="center"/>
              <w:rPr>
                <w:color w:val="auto"/>
                <w:kern w:val="0"/>
                <w:szCs w:val="21"/>
              </w:rPr>
            </w:pPr>
            <w:r>
              <w:rPr>
                <w:color w:val="auto"/>
                <w:kern w:val="0"/>
                <w:sz w:val="24"/>
              </w:rPr>
              <w:t>准</w:t>
            </w:r>
          </w:p>
        </w:tc>
        <w:tc>
          <w:tcPr>
            <w:tcW w:w="8599" w:type="dxa"/>
            <w:noWrap w:val="0"/>
            <w:vAlign w:val="center"/>
          </w:tcPr>
          <w:p>
            <w:pPr>
              <w:spacing w:line="360" w:lineRule="auto"/>
              <w:rPr>
                <w:b/>
                <w:bCs/>
                <w:color w:val="auto"/>
                <w:sz w:val="21"/>
                <w:szCs w:val="21"/>
              </w:rPr>
            </w:pPr>
          </w:p>
          <w:p>
            <w:pPr>
              <w:spacing w:line="360" w:lineRule="auto"/>
              <w:rPr>
                <w:b/>
                <w:bCs/>
                <w:color w:val="auto"/>
                <w:sz w:val="24"/>
                <w:szCs w:val="24"/>
              </w:rPr>
            </w:pPr>
            <w:r>
              <w:rPr>
                <w:b/>
                <w:bCs/>
                <w:color w:val="auto"/>
                <w:sz w:val="21"/>
                <w:szCs w:val="21"/>
              </w:rPr>
              <w:t>一</w:t>
            </w:r>
            <w:r>
              <w:rPr>
                <w:rFonts w:hint="eastAsia"/>
                <w:b/>
                <w:bCs/>
                <w:color w:val="auto"/>
                <w:sz w:val="24"/>
                <w:szCs w:val="24"/>
                <w:lang w:eastAsia="zh-CN"/>
              </w:rPr>
              <w:t>、</w:t>
            </w:r>
            <w:r>
              <w:rPr>
                <w:b/>
                <w:bCs/>
                <w:color w:val="auto"/>
                <w:sz w:val="24"/>
                <w:szCs w:val="24"/>
              </w:rPr>
              <w:t>环境质量标准</w:t>
            </w:r>
          </w:p>
          <w:p>
            <w:pPr>
              <w:spacing w:line="360" w:lineRule="auto"/>
              <w:ind w:firstLine="482" w:firstLineChars="200"/>
              <w:rPr>
                <w:b/>
                <w:color w:val="auto"/>
                <w:sz w:val="24"/>
                <w:szCs w:val="24"/>
              </w:rPr>
            </w:pPr>
            <w:r>
              <w:rPr>
                <w:b/>
                <w:color w:val="auto"/>
                <w:sz w:val="24"/>
                <w:szCs w:val="24"/>
              </w:rPr>
              <w:t>1、环境空气质量标准</w:t>
            </w:r>
          </w:p>
          <w:p>
            <w:pPr>
              <w:spacing w:line="360" w:lineRule="auto"/>
              <w:ind w:firstLine="480" w:firstLineChars="200"/>
              <w:jc w:val="left"/>
              <w:rPr>
                <w:color w:val="auto"/>
                <w:sz w:val="24"/>
                <w:szCs w:val="24"/>
              </w:rPr>
            </w:pPr>
            <w:r>
              <w:rPr>
                <w:rFonts w:ascii="Times New Roman" w:hAnsi="Times New Roman"/>
                <w:color w:val="auto"/>
                <w:sz w:val="24"/>
                <w:szCs w:val="24"/>
              </w:rPr>
              <w:t>评价区环境空气质量指标SO</w:t>
            </w:r>
            <w:r>
              <w:rPr>
                <w:rFonts w:ascii="Times New Roman" w:hAnsi="Times New Roman"/>
                <w:color w:val="auto"/>
                <w:sz w:val="24"/>
                <w:szCs w:val="24"/>
                <w:vertAlign w:val="subscript"/>
              </w:rPr>
              <w:t>2</w:t>
            </w:r>
            <w:r>
              <w:rPr>
                <w:rFonts w:ascii="Times New Roman" w:hAnsi="Times New Roman"/>
                <w:color w:val="auto"/>
                <w:sz w:val="24"/>
                <w:szCs w:val="24"/>
              </w:rPr>
              <w:t>、NO</w:t>
            </w:r>
            <w:r>
              <w:rPr>
                <w:rFonts w:ascii="Times New Roman" w:hAnsi="Times New Roman"/>
                <w:color w:val="auto"/>
                <w:sz w:val="24"/>
                <w:szCs w:val="24"/>
                <w:vertAlign w:val="subscript"/>
              </w:rPr>
              <w:t>2</w:t>
            </w:r>
            <w:r>
              <w:rPr>
                <w:rFonts w:ascii="Times New Roman" w:hAnsi="Times New Roman"/>
                <w:color w:val="auto"/>
                <w:sz w:val="24"/>
                <w:szCs w:val="24"/>
              </w:rPr>
              <w:t>、PM</w:t>
            </w:r>
            <w:r>
              <w:rPr>
                <w:rFonts w:ascii="Times New Roman" w:hAnsi="Times New Roman"/>
                <w:color w:val="auto"/>
                <w:sz w:val="24"/>
                <w:szCs w:val="24"/>
                <w:vertAlign w:val="subscript"/>
              </w:rPr>
              <w:t>10</w:t>
            </w:r>
            <w:r>
              <w:rPr>
                <w:rFonts w:ascii="Times New Roman" w:hAnsi="Times New Roman"/>
                <w:color w:val="auto"/>
                <w:sz w:val="24"/>
                <w:szCs w:val="24"/>
              </w:rPr>
              <w:t>、PM</w:t>
            </w:r>
            <w:r>
              <w:rPr>
                <w:rFonts w:ascii="Times New Roman" w:hAnsi="Times New Roman"/>
                <w:color w:val="auto"/>
                <w:sz w:val="24"/>
                <w:szCs w:val="24"/>
                <w:vertAlign w:val="subscript"/>
              </w:rPr>
              <w:t>2.5</w:t>
            </w:r>
            <w:r>
              <w:rPr>
                <w:rFonts w:ascii="Times New Roman" w:hAnsi="Times New Roman"/>
                <w:color w:val="auto"/>
                <w:sz w:val="24"/>
                <w:szCs w:val="24"/>
              </w:rPr>
              <w:t>、CO、O</w:t>
            </w:r>
            <w:r>
              <w:rPr>
                <w:rFonts w:ascii="Times New Roman" w:hAnsi="Times New Roman"/>
                <w:color w:val="auto"/>
                <w:sz w:val="24"/>
                <w:szCs w:val="24"/>
                <w:vertAlign w:val="subscript"/>
              </w:rPr>
              <w:t>3</w:t>
            </w:r>
            <w:r>
              <w:rPr>
                <w:rFonts w:ascii="Times New Roman" w:hAnsi="Times New Roman"/>
                <w:color w:val="auto"/>
                <w:sz w:val="24"/>
                <w:szCs w:val="24"/>
              </w:rPr>
              <w:t>、TSP执行《环境空气质量标准》（GB 3095-2012）中二级标准，非甲烷总烃执行《大气污染物综合排放标准详解》（国家环境保护局科技标准司编，中国环境科学出版社），具体标准值见表</w:t>
            </w:r>
            <w:r>
              <w:rPr>
                <w:rFonts w:hint="eastAsia" w:ascii="Times New Roman" w:hAnsi="Times New Roman"/>
                <w:color w:val="auto"/>
                <w:sz w:val="24"/>
                <w:szCs w:val="24"/>
                <w:lang w:val="en-US" w:eastAsia="zh-CN"/>
              </w:rPr>
              <w:t>3-9</w:t>
            </w:r>
            <w:r>
              <w:rPr>
                <w:rFonts w:ascii="Times New Roman" w:hAnsi="Times New Roman"/>
                <w:color w:val="auto"/>
                <w:sz w:val="24"/>
                <w:szCs w:val="24"/>
              </w:rPr>
              <w:t>。</w:t>
            </w:r>
          </w:p>
          <w:p>
            <w:pPr>
              <w:spacing w:line="240" w:lineRule="auto"/>
              <w:jc w:val="center"/>
              <w:rPr>
                <w:rFonts w:ascii="Times New Roman" w:hAnsi="Times New Roman"/>
                <w:b/>
                <w:color w:val="auto"/>
                <w:sz w:val="21"/>
                <w:szCs w:val="21"/>
              </w:rPr>
            </w:pPr>
            <w:r>
              <w:rPr>
                <w:rFonts w:ascii="Times New Roman" w:hAnsi="Times New Roman"/>
                <w:b/>
                <w:color w:val="auto"/>
                <w:sz w:val="21"/>
                <w:szCs w:val="21"/>
              </w:rPr>
              <w:t>表</w:t>
            </w:r>
            <w:r>
              <w:rPr>
                <w:rFonts w:hint="eastAsia" w:ascii="Times New Roman" w:hAnsi="Times New Roman"/>
                <w:b/>
                <w:color w:val="auto"/>
                <w:sz w:val="21"/>
                <w:szCs w:val="21"/>
                <w:lang w:val="en-US" w:eastAsia="zh-CN"/>
              </w:rPr>
              <w:t>3-14</w:t>
            </w:r>
            <w:r>
              <w:rPr>
                <w:rFonts w:ascii="Times New Roman" w:hAnsi="Times New Roman"/>
                <w:b/>
                <w:color w:val="auto"/>
                <w:sz w:val="21"/>
                <w:szCs w:val="21"/>
              </w:rPr>
              <w:t xml:space="preserve"> 大气环境质量标准限值  单位：μg/m</w:t>
            </w:r>
            <w:r>
              <w:rPr>
                <w:rFonts w:ascii="Times New Roman" w:hAnsi="Times New Roman"/>
                <w:b/>
                <w:color w:val="auto"/>
                <w:sz w:val="21"/>
                <w:szCs w:val="21"/>
                <w:vertAlign w:val="superscript"/>
              </w:rPr>
              <w:t>3</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1833"/>
              <w:gridCol w:w="1641"/>
              <w:gridCol w:w="892"/>
              <w:gridCol w:w="25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65"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污染物名称</w:t>
                  </w:r>
                </w:p>
              </w:tc>
              <w:tc>
                <w:tcPr>
                  <w:tcW w:w="1093"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平均时间</w:t>
                  </w:r>
                </w:p>
              </w:tc>
              <w:tc>
                <w:tcPr>
                  <w:tcW w:w="979"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浓度限值</w:t>
                  </w:r>
                </w:p>
              </w:tc>
              <w:tc>
                <w:tcPr>
                  <w:tcW w:w="532"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单位</w:t>
                  </w:r>
                </w:p>
              </w:tc>
              <w:tc>
                <w:tcPr>
                  <w:tcW w:w="1529"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参考标准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restar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SO</w:t>
                  </w:r>
                  <w:r>
                    <w:rPr>
                      <w:rFonts w:ascii="Times New Roman" w:hAnsi="Times New Roman"/>
                      <w:bCs/>
                      <w:color w:val="auto"/>
                      <w:sz w:val="21"/>
                      <w:szCs w:val="21"/>
                      <w:vertAlign w:val="subscript"/>
                    </w:rPr>
                    <w:t>2</w:t>
                  </w: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年平均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60</w:t>
                  </w:r>
                </w:p>
              </w:tc>
              <w:tc>
                <w:tcPr>
                  <w:tcW w:w="532" w:type="pct"/>
                  <w:vMerge w:val="restar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μg/m</w:t>
                  </w:r>
                  <w:r>
                    <w:rPr>
                      <w:rFonts w:ascii="Times New Roman" w:hAnsi="Times New Roman"/>
                      <w:bCs/>
                      <w:color w:val="auto"/>
                      <w:sz w:val="21"/>
                      <w:szCs w:val="21"/>
                      <w:vertAlign w:val="superscript"/>
                    </w:rPr>
                    <w:t>3</w:t>
                  </w:r>
                </w:p>
              </w:tc>
              <w:tc>
                <w:tcPr>
                  <w:tcW w:w="1529" w:type="pct"/>
                  <w:vMerge w:val="restar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环境空气质量标准（GB3095-2012）及修改单二级标准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noWrap w:val="0"/>
                  <w:vAlign w:val="center"/>
                </w:tcPr>
                <w:p>
                  <w:pPr>
                    <w:spacing w:line="240" w:lineRule="auto"/>
                    <w:jc w:val="center"/>
                    <w:rPr>
                      <w:rFonts w:ascii="Times New Roman" w:hAnsi="Times New Roman"/>
                      <w:bCs/>
                      <w:color w:val="auto"/>
                      <w:sz w:val="21"/>
                      <w:szCs w:val="21"/>
                    </w:rPr>
                  </w:pP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24小时平均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150</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noWrap w:val="0"/>
                  <w:vAlign w:val="center"/>
                </w:tcPr>
                <w:p>
                  <w:pPr>
                    <w:spacing w:line="240" w:lineRule="auto"/>
                    <w:jc w:val="center"/>
                    <w:rPr>
                      <w:rFonts w:ascii="Times New Roman" w:hAnsi="Times New Roman"/>
                      <w:bCs/>
                      <w:color w:val="auto"/>
                      <w:sz w:val="21"/>
                      <w:szCs w:val="21"/>
                    </w:rPr>
                  </w:pP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1小时平均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500</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restar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NO</w:t>
                  </w:r>
                  <w:r>
                    <w:rPr>
                      <w:rFonts w:ascii="Times New Roman" w:hAnsi="Times New Roman"/>
                      <w:bCs/>
                      <w:color w:val="auto"/>
                      <w:sz w:val="21"/>
                      <w:szCs w:val="21"/>
                      <w:vertAlign w:val="subscript"/>
                    </w:rPr>
                    <w:t>2</w:t>
                  </w: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年平均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40</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noWrap w:val="0"/>
                  <w:vAlign w:val="center"/>
                </w:tcPr>
                <w:p>
                  <w:pPr>
                    <w:spacing w:line="240" w:lineRule="auto"/>
                    <w:jc w:val="center"/>
                    <w:rPr>
                      <w:rFonts w:ascii="Times New Roman" w:hAnsi="Times New Roman"/>
                      <w:bCs/>
                      <w:color w:val="auto"/>
                      <w:sz w:val="21"/>
                      <w:szCs w:val="21"/>
                    </w:rPr>
                  </w:pP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24小时平均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80</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noWrap w:val="0"/>
                  <w:vAlign w:val="center"/>
                </w:tcPr>
                <w:p>
                  <w:pPr>
                    <w:spacing w:line="240" w:lineRule="auto"/>
                    <w:jc w:val="center"/>
                    <w:rPr>
                      <w:rFonts w:ascii="Times New Roman" w:hAnsi="Times New Roman"/>
                      <w:bCs/>
                      <w:color w:val="auto"/>
                      <w:sz w:val="21"/>
                      <w:szCs w:val="21"/>
                    </w:rPr>
                  </w:pP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1小时平均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200</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restar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PM</w:t>
                  </w:r>
                  <w:r>
                    <w:rPr>
                      <w:rFonts w:ascii="Times New Roman" w:hAnsi="Times New Roman"/>
                      <w:bCs/>
                      <w:color w:val="auto"/>
                      <w:sz w:val="21"/>
                      <w:szCs w:val="21"/>
                      <w:vertAlign w:val="subscript"/>
                    </w:rPr>
                    <w:t>10</w:t>
                  </w: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年平均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70</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noWrap w:val="0"/>
                  <w:vAlign w:val="center"/>
                </w:tcPr>
                <w:p>
                  <w:pPr>
                    <w:spacing w:line="240" w:lineRule="auto"/>
                    <w:jc w:val="center"/>
                    <w:rPr>
                      <w:rFonts w:ascii="Times New Roman" w:hAnsi="Times New Roman"/>
                      <w:bCs/>
                      <w:color w:val="auto"/>
                      <w:sz w:val="21"/>
                      <w:szCs w:val="21"/>
                    </w:rPr>
                  </w:pP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24小时平均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150</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restar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PM</w:t>
                  </w:r>
                  <w:r>
                    <w:rPr>
                      <w:rFonts w:ascii="Times New Roman" w:hAnsi="Times New Roman"/>
                      <w:bCs/>
                      <w:color w:val="auto"/>
                      <w:sz w:val="21"/>
                      <w:szCs w:val="21"/>
                      <w:vertAlign w:val="subscript"/>
                    </w:rPr>
                    <w:t>2.5</w:t>
                  </w: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年平均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35</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noWrap w:val="0"/>
                  <w:vAlign w:val="center"/>
                </w:tcPr>
                <w:p>
                  <w:pPr>
                    <w:spacing w:line="240" w:lineRule="auto"/>
                    <w:jc w:val="center"/>
                    <w:rPr>
                      <w:rFonts w:ascii="Times New Roman" w:hAnsi="Times New Roman"/>
                      <w:bCs/>
                      <w:color w:val="auto"/>
                      <w:sz w:val="21"/>
                      <w:szCs w:val="21"/>
                    </w:rPr>
                  </w:pP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24小时平均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75</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restar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O</w:t>
                  </w:r>
                  <w:r>
                    <w:rPr>
                      <w:rFonts w:ascii="Times New Roman" w:hAnsi="Times New Roman"/>
                      <w:bCs/>
                      <w:color w:val="auto"/>
                      <w:sz w:val="21"/>
                      <w:szCs w:val="21"/>
                      <w:vertAlign w:val="subscript"/>
                    </w:rPr>
                    <w:t>3</w:t>
                  </w: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日最大8小时平均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160</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noWrap w:val="0"/>
                  <w:vAlign w:val="center"/>
                </w:tcPr>
                <w:p>
                  <w:pPr>
                    <w:spacing w:line="240" w:lineRule="auto"/>
                    <w:jc w:val="center"/>
                    <w:rPr>
                      <w:rFonts w:ascii="Times New Roman" w:hAnsi="Times New Roman"/>
                      <w:bCs/>
                      <w:color w:val="auto"/>
                      <w:sz w:val="21"/>
                      <w:szCs w:val="21"/>
                    </w:rPr>
                  </w:pP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1小时平均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200</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restar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CO</w:t>
                  </w: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24小时平均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4</w:t>
                  </w:r>
                </w:p>
              </w:tc>
              <w:tc>
                <w:tcPr>
                  <w:tcW w:w="532" w:type="pct"/>
                  <w:vMerge w:val="restar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mg/m</w:t>
                  </w:r>
                  <w:r>
                    <w:rPr>
                      <w:rFonts w:ascii="Times New Roman" w:hAnsi="Times New Roman"/>
                      <w:bCs/>
                      <w:color w:val="auto"/>
                      <w:sz w:val="21"/>
                      <w:szCs w:val="21"/>
                      <w:vertAlign w:val="superscript"/>
                    </w:rPr>
                    <w:t>3</w:t>
                  </w: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noWrap w:val="0"/>
                  <w:vAlign w:val="center"/>
                </w:tcPr>
                <w:p>
                  <w:pPr>
                    <w:spacing w:line="240" w:lineRule="auto"/>
                    <w:jc w:val="center"/>
                    <w:rPr>
                      <w:rFonts w:ascii="Times New Roman" w:hAnsi="Times New Roman"/>
                      <w:bCs/>
                      <w:color w:val="auto"/>
                      <w:sz w:val="21"/>
                      <w:szCs w:val="21"/>
                    </w:rPr>
                  </w:pP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1小时平均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10</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restar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TSP</w:t>
                  </w: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年平均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200</w:t>
                  </w:r>
                </w:p>
              </w:tc>
              <w:tc>
                <w:tcPr>
                  <w:tcW w:w="532" w:type="pct"/>
                  <w:vMerge w:val="restar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μg/m</w:t>
                  </w:r>
                  <w:r>
                    <w:rPr>
                      <w:rFonts w:ascii="Times New Roman" w:hAnsi="Times New Roman"/>
                      <w:bCs/>
                      <w:color w:val="auto"/>
                      <w:sz w:val="21"/>
                      <w:szCs w:val="21"/>
                      <w:vertAlign w:val="superscript"/>
                    </w:rPr>
                    <w:t>3</w:t>
                  </w: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noWrap w:val="0"/>
                  <w:vAlign w:val="center"/>
                </w:tcPr>
                <w:p>
                  <w:pPr>
                    <w:spacing w:line="240" w:lineRule="auto"/>
                    <w:jc w:val="center"/>
                    <w:rPr>
                      <w:rFonts w:ascii="Times New Roman" w:hAnsi="Times New Roman"/>
                      <w:bCs/>
                      <w:color w:val="auto"/>
                      <w:sz w:val="21"/>
                      <w:szCs w:val="21"/>
                    </w:rPr>
                  </w:pP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24小时平均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300</w:t>
                  </w:r>
                </w:p>
              </w:tc>
              <w:tc>
                <w:tcPr>
                  <w:tcW w:w="532" w:type="pct"/>
                  <w:vMerge w:val="continue"/>
                  <w:noWrap w:val="0"/>
                  <w:vAlign w:val="center"/>
                </w:tcPr>
                <w:p>
                  <w:pPr>
                    <w:spacing w:line="240" w:lineRule="auto"/>
                    <w:jc w:val="center"/>
                    <w:rPr>
                      <w:rFonts w:ascii="Times New Roman" w:hAnsi="Times New Roman"/>
                      <w:bCs/>
                      <w:color w:val="auto"/>
                      <w:sz w:val="21"/>
                      <w:szCs w:val="21"/>
                    </w:rPr>
                  </w:pPr>
                </w:p>
              </w:tc>
              <w:tc>
                <w:tcPr>
                  <w:tcW w:w="1529" w:type="pct"/>
                  <w:vMerge w:val="continue"/>
                  <w:noWrap w:val="0"/>
                  <w:vAlign w:val="center"/>
                </w:tcPr>
                <w:p>
                  <w:pPr>
                    <w:spacing w:line="240" w:lineRule="auto"/>
                    <w:jc w:val="center"/>
                    <w:rPr>
                      <w:rFonts w:ascii="Times New Roman" w:hAnsi="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非甲烷总烃</w:t>
                  </w: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1小时平均</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w:t>
                  </w:r>
                </w:p>
              </w:tc>
              <w:tc>
                <w:tcPr>
                  <w:tcW w:w="532"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mg/m</w:t>
                  </w:r>
                  <w:r>
                    <w:rPr>
                      <w:rFonts w:ascii="Times New Roman" w:hAnsi="Times New Roman"/>
                      <w:bCs/>
                      <w:color w:val="auto"/>
                      <w:sz w:val="21"/>
                      <w:szCs w:val="21"/>
                      <w:vertAlign w:val="superscript"/>
                    </w:rPr>
                    <w:t>3</w:t>
                  </w:r>
                </w:p>
              </w:tc>
              <w:tc>
                <w:tcPr>
                  <w:tcW w:w="152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《大气污染物综合排放标准详解》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臭气浓度</w:t>
                  </w:r>
                </w:p>
              </w:tc>
              <w:tc>
                <w:tcPr>
                  <w:tcW w:w="1093"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二级</w:t>
                  </w:r>
                </w:p>
              </w:tc>
              <w:tc>
                <w:tcPr>
                  <w:tcW w:w="97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20</w:t>
                  </w:r>
                </w:p>
              </w:tc>
              <w:tc>
                <w:tcPr>
                  <w:tcW w:w="532"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无量纲</w:t>
                  </w:r>
                </w:p>
              </w:tc>
              <w:tc>
                <w:tcPr>
                  <w:tcW w:w="1529" w:type="pct"/>
                  <w:noWrap w:val="0"/>
                  <w:vAlign w:val="center"/>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《恶臭污染物排放标准》（GB14554-93）</w:t>
                  </w:r>
                </w:p>
              </w:tc>
            </w:tr>
          </w:tbl>
          <w:p>
            <w:pPr>
              <w:spacing w:line="360" w:lineRule="auto"/>
              <w:ind w:firstLine="482" w:firstLineChars="200"/>
              <w:rPr>
                <w:b/>
                <w:color w:val="auto"/>
                <w:sz w:val="24"/>
                <w:szCs w:val="24"/>
              </w:rPr>
            </w:pPr>
            <w:r>
              <w:rPr>
                <w:b/>
                <w:color w:val="auto"/>
                <w:sz w:val="24"/>
                <w:szCs w:val="24"/>
              </w:rPr>
              <w:t>2、地表水环境质量标准</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本项目所在地附近地表水体为岷江，根据《水功能区监督管理办法》（水资源[2017]101号），岷江属Ⅲ类水体，执行《地表水环境质量标准》（GB3838-2002）Ⅲ类水质标准。</w:t>
            </w:r>
          </w:p>
          <w:p>
            <w:pPr>
              <w:spacing w:line="240" w:lineRule="auto"/>
              <w:jc w:val="center"/>
              <w:rPr>
                <w:rFonts w:ascii="Times New Roman" w:hAnsi="Times New Roman"/>
                <w:b/>
                <w:color w:val="auto"/>
                <w:sz w:val="21"/>
                <w:szCs w:val="21"/>
              </w:rPr>
            </w:pPr>
            <w:r>
              <w:rPr>
                <w:rFonts w:ascii="Times New Roman" w:hAnsi="Times New Roman"/>
                <w:b/>
                <w:color w:val="auto"/>
                <w:sz w:val="21"/>
                <w:szCs w:val="21"/>
              </w:rPr>
              <w:t>表</w:t>
            </w:r>
            <w:r>
              <w:rPr>
                <w:rFonts w:hint="eastAsia" w:ascii="Times New Roman" w:hAnsi="Times New Roman"/>
                <w:b/>
                <w:color w:val="auto"/>
                <w:sz w:val="21"/>
                <w:szCs w:val="21"/>
                <w:lang w:val="en-US" w:eastAsia="zh-CN"/>
              </w:rPr>
              <w:t>3-15</w:t>
            </w:r>
            <w:r>
              <w:rPr>
                <w:rFonts w:ascii="Times New Roman" w:hAnsi="Times New Roman"/>
                <w:b/>
                <w:color w:val="auto"/>
                <w:sz w:val="21"/>
                <w:szCs w:val="21"/>
              </w:rPr>
              <w:t xml:space="preserve">  地表水质量标准限值表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78"/>
              <w:gridCol w:w="2483"/>
              <w:gridCol w:w="26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pc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项目</w:t>
                  </w:r>
                </w:p>
              </w:tc>
              <w:tc>
                <w:tcPr>
                  <w:tcW w:w="1481" w:type="pc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标准值</w:t>
                  </w:r>
                </w:p>
              </w:tc>
              <w:tc>
                <w:tcPr>
                  <w:tcW w:w="1562" w:type="pct"/>
                  <w:shd w:val="clear" w:color="auto" w:fill="DCE6F2" w:themeFill="accent1" w:themeFillTint="3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pH（无量纲）</w:t>
                  </w:r>
                </w:p>
              </w:tc>
              <w:tc>
                <w:tcPr>
                  <w:tcW w:w="148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6~9</w:t>
                  </w:r>
                </w:p>
              </w:tc>
              <w:tc>
                <w:tcPr>
                  <w:tcW w:w="1562"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《地表水环境质量标准》</w:t>
                  </w:r>
                </w:p>
                <w:p>
                  <w:pPr>
                    <w:spacing w:line="240" w:lineRule="auto"/>
                    <w:jc w:val="center"/>
                    <w:rPr>
                      <w:rFonts w:ascii="Times New Roman" w:hAnsi="Times New Roman"/>
                      <w:color w:val="auto"/>
                      <w:sz w:val="21"/>
                      <w:szCs w:val="21"/>
                    </w:rPr>
                  </w:pPr>
                  <w:r>
                    <w:rPr>
                      <w:rFonts w:ascii="Times New Roman" w:hAnsi="Times New Roman"/>
                      <w:color w:val="auto"/>
                      <w:sz w:val="21"/>
                      <w:szCs w:val="21"/>
                    </w:rPr>
                    <w:t>（GB3838-2002）</w:t>
                  </w:r>
                </w:p>
                <w:p>
                  <w:pPr>
                    <w:spacing w:line="240" w:lineRule="auto"/>
                    <w:jc w:val="center"/>
                    <w:rPr>
                      <w:rFonts w:ascii="Times New Roman" w:hAnsi="Times New Roman"/>
                      <w:color w:val="auto"/>
                      <w:sz w:val="21"/>
                      <w:szCs w:val="21"/>
                    </w:rPr>
                  </w:pPr>
                  <w:r>
                    <w:rPr>
                      <w:rFonts w:ascii="Times New Roman" w:hAnsi="Times New Roman"/>
                      <w:color w:val="auto"/>
                      <w:sz w:val="21"/>
                      <w:szCs w:val="21"/>
                    </w:rPr>
                    <w:fldChar w:fldCharType="begin"/>
                  </w:r>
                  <w:r>
                    <w:rPr>
                      <w:rFonts w:ascii="Times New Roman" w:hAnsi="Times New Roman"/>
                      <w:color w:val="auto"/>
                      <w:sz w:val="21"/>
                      <w:szCs w:val="21"/>
                    </w:rPr>
                    <w:instrText xml:space="preserve"> = 3 \* ROMAN </w:instrText>
                  </w:r>
                  <w:r>
                    <w:rPr>
                      <w:rFonts w:ascii="Times New Roman" w:hAnsi="Times New Roman"/>
                      <w:color w:val="auto"/>
                      <w:sz w:val="21"/>
                      <w:szCs w:val="21"/>
                    </w:rPr>
                    <w:fldChar w:fldCharType="separate"/>
                  </w:r>
                  <w:r>
                    <w:rPr>
                      <w:rFonts w:ascii="Times New Roman" w:hAnsi="Times New Roman"/>
                      <w:color w:val="auto"/>
                      <w:sz w:val="21"/>
                      <w:szCs w:val="21"/>
                    </w:rPr>
                    <w:t>III</w:t>
                  </w:r>
                  <w:r>
                    <w:rPr>
                      <w:rFonts w:ascii="Times New Roman" w:hAnsi="Times New Roman"/>
                      <w:color w:val="auto"/>
                      <w:sz w:val="21"/>
                      <w:szCs w:val="21"/>
                    </w:rPr>
                    <w:fldChar w:fldCharType="end"/>
                  </w:r>
                  <w:r>
                    <w:rPr>
                      <w:rFonts w:ascii="Times New Roman" w:hAnsi="Times New Roman"/>
                      <w:color w:val="auto"/>
                      <w:sz w:val="21"/>
                      <w:szCs w:val="21"/>
                    </w:rPr>
                    <w:t>类水域标准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COD</w:t>
                  </w:r>
                </w:p>
              </w:tc>
              <w:tc>
                <w:tcPr>
                  <w:tcW w:w="148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≤20mg/L</w:t>
                  </w:r>
                </w:p>
              </w:tc>
              <w:tc>
                <w:tcPr>
                  <w:tcW w:w="1562" w:type="pct"/>
                  <w:vMerge w:val="continue"/>
                  <w:noWrap w:val="0"/>
                  <w:vAlign w:val="center"/>
                </w:tcPr>
                <w:p>
                  <w:pPr>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BOD</w:t>
                  </w:r>
                  <w:r>
                    <w:rPr>
                      <w:rFonts w:ascii="Times New Roman" w:hAnsi="Times New Roman"/>
                      <w:color w:val="auto"/>
                      <w:sz w:val="21"/>
                      <w:szCs w:val="21"/>
                      <w:vertAlign w:val="subscript"/>
                    </w:rPr>
                    <w:t>5</w:t>
                  </w:r>
                </w:p>
              </w:tc>
              <w:tc>
                <w:tcPr>
                  <w:tcW w:w="148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≤4mg/L</w:t>
                  </w:r>
                </w:p>
              </w:tc>
              <w:tc>
                <w:tcPr>
                  <w:tcW w:w="1562" w:type="pct"/>
                  <w:vMerge w:val="continue"/>
                  <w:noWrap w:val="0"/>
                  <w:vAlign w:val="center"/>
                </w:tcPr>
                <w:p>
                  <w:pPr>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w:t>
                  </w:r>
                </w:p>
              </w:tc>
              <w:tc>
                <w:tcPr>
                  <w:tcW w:w="148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≤1.0mg/L</w:t>
                  </w:r>
                </w:p>
              </w:tc>
              <w:tc>
                <w:tcPr>
                  <w:tcW w:w="1562" w:type="pct"/>
                  <w:vMerge w:val="continue"/>
                  <w:noWrap w:val="0"/>
                  <w:vAlign w:val="center"/>
                </w:tcPr>
                <w:p>
                  <w:pPr>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石油类</w:t>
                  </w:r>
                </w:p>
              </w:tc>
              <w:tc>
                <w:tcPr>
                  <w:tcW w:w="148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≤0.05mg/L</w:t>
                  </w:r>
                </w:p>
              </w:tc>
              <w:tc>
                <w:tcPr>
                  <w:tcW w:w="1562" w:type="pct"/>
                  <w:vMerge w:val="continue"/>
                  <w:noWrap w:val="0"/>
                  <w:vAlign w:val="center"/>
                </w:tcPr>
                <w:p>
                  <w:pPr>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总氮</w:t>
                  </w:r>
                </w:p>
              </w:tc>
              <w:tc>
                <w:tcPr>
                  <w:tcW w:w="148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≤1.0mg/L</w:t>
                  </w:r>
                </w:p>
              </w:tc>
              <w:tc>
                <w:tcPr>
                  <w:tcW w:w="1562" w:type="pct"/>
                  <w:vMerge w:val="continue"/>
                  <w:noWrap w:val="0"/>
                  <w:vAlign w:val="center"/>
                </w:tcPr>
                <w:p>
                  <w:pPr>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总磷</w:t>
                  </w:r>
                </w:p>
              </w:tc>
              <w:tc>
                <w:tcPr>
                  <w:tcW w:w="148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≤0.2mg/L</w:t>
                  </w:r>
                </w:p>
              </w:tc>
              <w:tc>
                <w:tcPr>
                  <w:tcW w:w="1562" w:type="pct"/>
                  <w:vMerge w:val="continue"/>
                  <w:noWrap w:val="0"/>
                  <w:vAlign w:val="center"/>
                </w:tcPr>
                <w:p>
                  <w:pPr>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6"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粪大肠菌群</w:t>
                  </w:r>
                </w:p>
              </w:tc>
              <w:tc>
                <w:tcPr>
                  <w:tcW w:w="1481"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≤10000个/L</w:t>
                  </w:r>
                </w:p>
              </w:tc>
              <w:tc>
                <w:tcPr>
                  <w:tcW w:w="1562" w:type="pct"/>
                  <w:vMerge w:val="continue"/>
                  <w:noWrap w:val="0"/>
                  <w:vAlign w:val="center"/>
                </w:tcPr>
                <w:p>
                  <w:pPr>
                    <w:spacing w:line="240" w:lineRule="auto"/>
                    <w:jc w:val="center"/>
                    <w:rPr>
                      <w:rFonts w:ascii="Times New Roman" w:hAnsi="Times New Roman"/>
                      <w:color w:val="auto"/>
                      <w:sz w:val="21"/>
                      <w:szCs w:val="21"/>
                    </w:rPr>
                  </w:pPr>
                </w:p>
              </w:tc>
            </w:tr>
          </w:tbl>
          <w:p>
            <w:pPr>
              <w:spacing w:line="360" w:lineRule="auto"/>
              <w:ind w:firstLine="482" w:firstLineChars="200"/>
              <w:rPr>
                <w:b/>
                <w:color w:val="auto"/>
                <w:sz w:val="24"/>
                <w:szCs w:val="24"/>
              </w:rPr>
            </w:pPr>
            <w:r>
              <w:rPr>
                <w:b/>
                <w:color w:val="auto"/>
                <w:sz w:val="24"/>
                <w:szCs w:val="24"/>
              </w:rPr>
              <w:t>3、声环境质量标准</w:t>
            </w:r>
          </w:p>
          <w:p>
            <w:pPr>
              <w:spacing w:line="360" w:lineRule="auto"/>
              <w:ind w:firstLine="480" w:firstLineChars="200"/>
              <w:rPr>
                <w:color w:val="auto"/>
                <w:sz w:val="24"/>
                <w:szCs w:val="24"/>
              </w:rPr>
            </w:pPr>
            <w:r>
              <w:rPr>
                <w:color w:val="auto"/>
                <w:sz w:val="24"/>
                <w:szCs w:val="24"/>
              </w:rPr>
              <w:t>本项目</w:t>
            </w:r>
            <w:r>
              <w:rPr>
                <w:rFonts w:hint="eastAsia"/>
                <w:color w:val="auto"/>
                <w:sz w:val="24"/>
                <w:szCs w:val="24"/>
                <w:lang w:val="en-US" w:eastAsia="zh-CN"/>
              </w:rPr>
              <w:t>厂界</w:t>
            </w:r>
            <w:r>
              <w:rPr>
                <w:color w:val="auto"/>
                <w:sz w:val="24"/>
                <w:szCs w:val="24"/>
              </w:rPr>
              <w:t>执行《声环境质量标准》（GB3096-2008）中3类标准限值，标准值见</w:t>
            </w:r>
            <w:r>
              <w:rPr>
                <w:rFonts w:hint="eastAsia"/>
                <w:color w:val="auto"/>
                <w:sz w:val="24"/>
                <w:szCs w:val="24"/>
                <w:lang w:eastAsia="zh-CN"/>
              </w:rPr>
              <w:t>下</w:t>
            </w:r>
            <w:r>
              <w:rPr>
                <w:color w:val="auto"/>
                <w:sz w:val="24"/>
                <w:szCs w:val="24"/>
              </w:rPr>
              <w:t>表。</w:t>
            </w:r>
          </w:p>
          <w:p>
            <w:pPr>
              <w:jc w:val="right"/>
              <w:rPr>
                <w:color w:val="auto"/>
                <w:sz w:val="21"/>
                <w:szCs w:val="21"/>
              </w:rPr>
            </w:pPr>
            <w:r>
              <w:rPr>
                <w:b/>
                <w:color w:val="auto"/>
                <w:sz w:val="21"/>
                <w:szCs w:val="21"/>
              </w:rPr>
              <w:t>表3-1</w:t>
            </w:r>
            <w:r>
              <w:rPr>
                <w:rFonts w:hint="eastAsia"/>
                <w:b/>
                <w:color w:val="auto"/>
                <w:sz w:val="21"/>
                <w:szCs w:val="21"/>
                <w:lang w:val="en-US" w:eastAsia="zh-CN"/>
              </w:rPr>
              <w:t>6</w:t>
            </w:r>
            <w:r>
              <w:rPr>
                <w:b/>
                <w:color w:val="auto"/>
                <w:sz w:val="21"/>
                <w:szCs w:val="21"/>
              </w:rPr>
              <w:t xml:space="preserve"> 声环境质量标准   </w:t>
            </w:r>
            <w:r>
              <w:rPr>
                <w:rFonts w:hint="eastAsia"/>
                <w:b/>
                <w:color w:val="auto"/>
                <w:sz w:val="21"/>
                <w:szCs w:val="21"/>
                <w:lang w:val="en-US" w:eastAsia="zh-CN"/>
              </w:rPr>
              <w:t xml:space="preserve">    </w:t>
            </w:r>
            <w:r>
              <w:rPr>
                <w:b/>
                <w:color w:val="auto"/>
                <w:sz w:val="21"/>
                <w:szCs w:val="21"/>
              </w:rPr>
              <w:t xml:space="preserve">     </w:t>
            </w:r>
            <w:r>
              <w:rPr>
                <w:color w:val="auto"/>
                <w:sz w:val="21"/>
                <w:szCs w:val="21"/>
              </w:rPr>
              <w:t>等效声级LAeq：dB</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62"/>
              <w:gridCol w:w="2637"/>
              <w:gridCol w:w="2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3362" w:type="dxa"/>
                  <w:shd w:val="clear" w:color="auto" w:fill="DCE6F2" w:themeFill="accent1" w:themeFillTint="32"/>
                  <w:noWrap w:val="0"/>
                  <w:vAlign w:val="center"/>
                </w:tcPr>
                <w:p>
                  <w:pPr>
                    <w:jc w:val="center"/>
                    <w:rPr>
                      <w:b/>
                      <w:color w:val="auto"/>
                      <w:spacing w:val="-20"/>
                      <w:sz w:val="21"/>
                      <w:szCs w:val="21"/>
                    </w:rPr>
                  </w:pPr>
                  <w:r>
                    <w:rPr>
                      <w:b/>
                      <w:color w:val="auto"/>
                      <w:spacing w:val="-20"/>
                      <w:sz w:val="21"/>
                      <w:szCs w:val="21"/>
                    </w:rPr>
                    <w:t>项目</w:t>
                  </w:r>
                </w:p>
              </w:tc>
              <w:tc>
                <w:tcPr>
                  <w:tcW w:w="2637" w:type="dxa"/>
                  <w:shd w:val="clear" w:color="auto" w:fill="DCE6F2" w:themeFill="accent1" w:themeFillTint="32"/>
                  <w:noWrap w:val="0"/>
                  <w:vAlign w:val="center"/>
                </w:tcPr>
                <w:p>
                  <w:pPr>
                    <w:jc w:val="center"/>
                    <w:rPr>
                      <w:b/>
                      <w:color w:val="auto"/>
                      <w:spacing w:val="-20"/>
                      <w:sz w:val="21"/>
                      <w:szCs w:val="21"/>
                    </w:rPr>
                  </w:pPr>
                  <w:r>
                    <w:rPr>
                      <w:b/>
                      <w:color w:val="auto"/>
                      <w:spacing w:val="-20"/>
                      <w:sz w:val="21"/>
                      <w:szCs w:val="21"/>
                    </w:rPr>
                    <w:t>昼间</w:t>
                  </w:r>
                </w:p>
              </w:tc>
              <w:tc>
                <w:tcPr>
                  <w:tcW w:w="2384" w:type="dxa"/>
                  <w:shd w:val="clear" w:color="auto" w:fill="DCE6F2" w:themeFill="accent1" w:themeFillTint="32"/>
                  <w:noWrap w:val="0"/>
                  <w:vAlign w:val="center"/>
                </w:tcPr>
                <w:p>
                  <w:pPr>
                    <w:jc w:val="center"/>
                    <w:rPr>
                      <w:b/>
                      <w:color w:val="auto"/>
                      <w:spacing w:val="-20"/>
                      <w:sz w:val="21"/>
                      <w:szCs w:val="21"/>
                    </w:rPr>
                  </w:pPr>
                  <w:r>
                    <w:rPr>
                      <w:b/>
                      <w:color w:val="auto"/>
                      <w:spacing w:val="-2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3362" w:type="dxa"/>
                  <w:noWrap w:val="0"/>
                  <w:vAlign w:val="center"/>
                </w:tcPr>
                <w:p>
                  <w:pPr>
                    <w:pStyle w:val="65"/>
                    <w:adjustRightInd/>
                    <w:snapToGrid/>
                    <w:textAlignment w:val="auto"/>
                    <w:rPr>
                      <w:color w:val="auto"/>
                      <w:spacing w:val="-20"/>
                      <w:sz w:val="21"/>
                      <w:szCs w:val="21"/>
                    </w:rPr>
                  </w:pPr>
                  <w:r>
                    <w:rPr>
                      <w:color w:val="auto"/>
                      <w:spacing w:val="-20"/>
                      <w:sz w:val="21"/>
                      <w:szCs w:val="21"/>
                    </w:rPr>
                    <w:t>3类</w:t>
                  </w:r>
                </w:p>
              </w:tc>
              <w:tc>
                <w:tcPr>
                  <w:tcW w:w="2637" w:type="dxa"/>
                  <w:noWrap w:val="0"/>
                  <w:vAlign w:val="center"/>
                </w:tcPr>
                <w:p>
                  <w:pPr>
                    <w:jc w:val="center"/>
                    <w:rPr>
                      <w:color w:val="auto"/>
                      <w:spacing w:val="-20"/>
                      <w:sz w:val="21"/>
                      <w:szCs w:val="21"/>
                    </w:rPr>
                  </w:pPr>
                  <w:r>
                    <w:rPr>
                      <w:color w:val="auto"/>
                      <w:spacing w:val="-20"/>
                      <w:sz w:val="21"/>
                      <w:szCs w:val="21"/>
                    </w:rPr>
                    <w:t>65</w:t>
                  </w:r>
                </w:p>
              </w:tc>
              <w:tc>
                <w:tcPr>
                  <w:tcW w:w="2384" w:type="dxa"/>
                  <w:noWrap w:val="0"/>
                  <w:vAlign w:val="center"/>
                </w:tcPr>
                <w:p>
                  <w:pPr>
                    <w:jc w:val="center"/>
                    <w:rPr>
                      <w:color w:val="auto"/>
                      <w:spacing w:val="-20"/>
                      <w:sz w:val="21"/>
                      <w:szCs w:val="21"/>
                    </w:rPr>
                  </w:pPr>
                  <w:r>
                    <w:rPr>
                      <w:color w:val="auto"/>
                      <w:spacing w:val="-20"/>
                      <w:sz w:val="21"/>
                      <w:szCs w:val="21"/>
                    </w:rPr>
                    <w:t>55</w:t>
                  </w:r>
                </w:p>
              </w:tc>
            </w:tr>
          </w:tbl>
          <w:p>
            <w:pPr>
              <w:spacing w:line="360" w:lineRule="auto"/>
              <w:jc w:val="left"/>
              <w:rPr>
                <w:b/>
                <w:bCs/>
                <w:snapToGrid w:val="0"/>
                <w:color w:val="auto"/>
                <w:sz w:val="24"/>
                <w:szCs w:val="24"/>
              </w:rPr>
            </w:pPr>
            <w:r>
              <w:rPr>
                <w:b/>
                <w:bCs/>
                <w:snapToGrid w:val="0"/>
                <w:color w:val="auto"/>
                <w:sz w:val="24"/>
                <w:szCs w:val="24"/>
              </w:rPr>
              <w:t>二</w:t>
            </w:r>
            <w:r>
              <w:rPr>
                <w:rFonts w:hint="eastAsia"/>
                <w:b/>
                <w:bCs/>
                <w:snapToGrid w:val="0"/>
                <w:color w:val="auto"/>
                <w:sz w:val="24"/>
                <w:szCs w:val="24"/>
                <w:lang w:eastAsia="zh-CN"/>
              </w:rPr>
              <w:t>、</w:t>
            </w:r>
            <w:r>
              <w:rPr>
                <w:b/>
                <w:bCs/>
                <w:color w:val="auto"/>
                <w:sz w:val="24"/>
                <w:szCs w:val="24"/>
              </w:rPr>
              <w:t>污染物排放标准</w:t>
            </w:r>
          </w:p>
          <w:p>
            <w:pPr>
              <w:pStyle w:val="71"/>
              <w:spacing w:before="0" w:beforeLines="0" w:line="360" w:lineRule="auto"/>
              <w:ind w:firstLine="482" w:firstLineChars="200"/>
              <w:rPr>
                <w:snapToGrid w:val="0"/>
                <w:color w:val="auto"/>
                <w:sz w:val="24"/>
                <w:szCs w:val="24"/>
              </w:rPr>
            </w:pPr>
            <w:r>
              <w:rPr>
                <w:snapToGrid w:val="0"/>
                <w:color w:val="auto"/>
                <w:sz w:val="24"/>
                <w:szCs w:val="24"/>
              </w:rPr>
              <w:t>1、废气</w:t>
            </w:r>
          </w:p>
          <w:p>
            <w:pPr>
              <w:spacing w:line="360" w:lineRule="auto"/>
              <w:ind w:firstLine="480" w:firstLineChars="200"/>
              <w:rPr>
                <w:color w:val="auto"/>
                <w:sz w:val="24"/>
                <w:szCs w:val="24"/>
              </w:rPr>
            </w:pPr>
            <w:r>
              <w:rPr>
                <w:color w:val="auto"/>
                <w:sz w:val="24"/>
                <w:szCs w:val="24"/>
              </w:rPr>
              <w:t>有组织排放废气：根据《四川省生态环境厅关于执行大气污染物特别排放限值的公告》（2020年第2号）文件内容，项目</w:t>
            </w:r>
            <w:r>
              <w:rPr>
                <w:rFonts w:ascii="Times New Roman" w:hAnsi="Times New Roman"/>
                <w:color w:val="auto"/>
                <w:sz w:val="24"/>
                <w:szCs w:val="24"/>
              </w:rPr>
              <w:t>熔融废气、拉丝废气</w:t>
            </w:r>
            <w:r>
              <w:rPr>
                <w:color w:val="auto"/>
                <w:sz w:val="24"/>
                <w:szCs w:val="24"/>
              </w:rPr>
              <w:t>有组织排放中的非甲烷总烃执行《合成树脂工业污染物排放标准》（GB31572-2015）表5（大气污染物特别排放限值）；</w:t>
            </w:r>
          </w:p>
          <w:p>
            <w:pPr>
              <w:spacing w:line="360" w:lineRule="auto"/>
              <w:ind w:firstLine="480" w:firstLineChars="200"/>
              <w:rPr>
                <w:color w:val="auto"/>
                <w:sz w:val="24"/>
                <w:szCs w:val="24"/>
              </w:rPr>
            </w:pPr>
            <w:r>
              <w:rPr>
                <w:color w:val="auto"/>
                <w:sz w:val="24"/>
                <w:szCs w:val="24"/>
              </w:rPr>
              <w:t>无组织排放废气：厂界及周边区域环境中外排的非甲烷总烃执行《合成树脂工业污染物排放标准》（GB31572-2015）表9限值；企业厂区内无组织排放监控点浓度执行《挥发性有机物无组织排放控制标准》（GB37822-2019）中附录A表A.1中特别排放限值。</w:t>
            </w:r>
          </w:p>
          <w:p>
            <w:pPr>
              <w:jc w:val="center"/>
              <w:rPr>
                <w:rFonts w:ascii="Times New Roman" w:hAnsi="Times New Roman"/>
                <w:color w:val="auto"/>
                <w:sz w:val="21"/>
                <w:szCs w:val="21"/>
              </w:rPr>
            </w:pPr>
            <w:r>
              <w:rPr>
                <w:b/>
                <w:color w:val="auto"/>
                <w:sz w:val="21"/>
                <w:szCs w:val="21"/>
              </w:rPr>
              <w:t>表3-1</w:t>
            </w:r>
            <w:r>
              <w:rPr>
                <w:rFonts w:hint="eastAsia"/>
                <w:b/>
                <w:color w:val="auto"/>
                <w:sz w:val="21"/>
                <w:szCs w:val="21"/>
                <w:lang w:val="en-US" w:eastAsia="zh-CN"/>
              </w:rPr>
              <w:t xml:space="preserve">7 </w:t>
            </w:r>
            <w:r>
              <w:rPr>
                <w:rFonts w:hint="eastAsia" w:ascii="Times New Roman" w:hAnsi="Times New Roman"/>
                <w:b/>
                <w:color w:val="auto"/>
                <w:sz w:val="21"/>
                <w:szCs w:val="21"/>
              </w:rPr>
              <w:t>《合成树脂工业污染物排放标准》（GB31572-2015）排放限值</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2427"/>
              <w:gridCol w:w="1219"/>
              <w:gridCol w:w="2184"/>
              <w:gridCol w:w="16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hint="eastAsia" w:ascii="Times New Roman" w:hAnsi="Times New Roman"/>
                      <w:b/>
                      <w:bCs/>
                      <w:color w:val="auto"/>
                      <w:sz w:val="21"/>
                      <w:szCs w:val="21"/>
                    </w:rPr>
                    <w:t>序号</w:t>
                  </w:r>
                </w:p>
              </w:tc>
              <w:tc>
                <w:tcPr>
                  <w:tcW w:w="1456"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hint="eastAsia" w:ascii="Times New Roman" w:hAnsi="Times New Roman"/>
                      <w:b/>
                      <w:bCs/>
                      <w:color w:val="auto"/>
                      <w:sz w:val="21"/>
                      <w:szCs w:val="21"/>
                    </w:rPr>
                    <w:t>污染物项目</w:t>
                  </w:r>
                </w:p>
              </w:tc>
              <w:tc>
                <w:tcPr>
                  <w:tcW w:w="688"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hint="eastAsia" w:ascii="Times New Roman" w:hAnsi="Times New Roman"/>
                      <w:b/>
                      <w:bCs/>
                      <w:color w:val="auto"/>
                      <w:sz w:val="21"/>
                      <w:szCs w:val="21"/>
                    </w:rPr>
                    <w:t>排放限值（mg/m</w:t>
                  </w:r>
                  <w:r>
                    <w:rPr>
                      <w:rFonts w:hint="eastAsia" w:ascii="Times New Roman" w:hAnsi="Times New Roman"/>
                      <w:b/>
                      <w:bCs/>
                      <w:color w:val="auto"/>
                      <w:sz w:val="21"/>
                      <w:szCs w:val="21"/>
                      <w:vertAlign w:val="superscript"/>
                    </w:rPr>
                    <w:t>3</w:t>
                  </w:r>
                  <w:r>
                    <w:rPr>
                      <w:rFonts w:hint="eastAsia" w:ascii="Times New Roman" w:hAnsi="Times New Roman"/>
                      <w:b/>
                      <w:bCs/>
                      <w:color w:val="auto"/>
                      <w:sz w:val="21"/>
                      <w:szCs w:val="21"/>
                    </w:rPr>
                    <w:t>）</w:t>
                  </w:r>
                </w:p>
              </w:tc>
              <w:tc>
                <w:tcPr>
                  <w:tcW w:w="1312"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hint="eastAsia" w:ascii="Times New Roman" w:hAnsi="Times New Roman"/>
                      <w:b/>
                      <w:bCs/>
                      <w:color w:val="auto"/>
                      <w:sz w:val="21"/>
                      <w:szCs w:val="21"/>
                    </w:rPr>
                    <w:t>适用的合成树脂类型</w:t>
                  </w:r>
                </w:p>
              </w:tc>
              <w:tc>
                <w:tcPr>
                  <w:tcW w:w="1000"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hint="eastAsia" w:ascii="Times New Roman" w:hAnsi="Times New Roman"/>
                      <w:b/>
                      <w:bCs/>
                      <w:color w:val="auto"/>
                      <w:sz w:val="21"/>
                      <w:szCs w:val="21"/>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1</w:t>
                  </w:r>
                </w:p>
              </w:tc>
              <w:tc>
                <w:tcPr>
                  <w:tcW w:w="1456" w:type="pc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非甲烷总烃</w:t>
                  </w:r>
                </w:p>
              </w:tc>
              <w:tc>
                <w:tcPr>
                  <w:tcW w:w="688" w:type="pc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60</w:t>
                  </w:r>
                </w:p>
              </w:tc>
              <w:tc>
                <w:tcPr>
                  <w:tcW w:w="1312" w:type="pct"/>
                  <w:vMerge w:val="restar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所有合成树脂</w:t>
                  </w:r>
                </w:p>
              </w:tc>
              <w:tc>
                <w:tcPr>
                  <w:tcW w:w="1000" w:type="pct"/>
                  <w:vMerge w:val="restar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车间或生产设施排气筒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2</w:t>
                  </w:r>
                </w:p>
              </w:tc>
              <w:tc>
                <w:tcPr>
                  <w:tcW w:w="1456" w:type="pc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颗粒物</w:t>
                  </w:r>
                </w:p>
              </w:tc>
              <w:tc>
                <w:tcPr>
                  <w:tcW w:w="688" w:type="pc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20</w:t>
                  </w:r>
                </w:p>
              </w:tc>
              <w:tc>
                <w:tcPr>
                  <w:tcW w:w="1312" w:type="pct"/>
                  <w:vMerge w:val="continue"/>
                  <w:noWrap w:val="0"/>
                  <w:vAlign w:val="center"/>
                </w:tcPr>
                <w:p>
                  <w:pPr>
                    <w:adjustRightInd w:val="0"/>
                    <w:snapToGrid w:val="0"/>
                    <w:spacing w:line="240" w:lineRule="auto"/>
                    <w:jc w:val="center"/>
                    <w:rPr>
                      <w:rFonts w:ascii="Times New Roman" w:hAnsi="Times New Roman"/>
                      <w:color w:val="auto"/>
                      <w:sz w:val="21"/>
                      <w:szCs w:val="21"/>
                    </w:rPr>
                  </w:pPr>
                </w:p>
              </w:tc>
              <w:tc>
                <w:tcPr>
                  <w:tcW w:w="1000" w:type="pct"/>
                  <w:vMerge w:val="continue"/>
                  <w:noWrap w:val="0"/>
                  <w:vAlign w:val="center"/>
                </w:tcPr>
                <w:p>
                  <w:pPr>
                    <w:adjustRightInd w:val="0"/>
                    <w:snapToGrid w:val="0"/>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9" w:type="pct"/>
                  <w:gridSpan w:val="2"/>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单位产品非甲烷总烃排放量（kg/t）</w:t>
                  </w:r>
                </w:p>
              </w:tc>
              <w:tc>
                <w:tcPr>
                  <w:tcW w:w="688" w:type="pc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0.3</w:t>
                  </w:r>
                </w:p>
              </w:tc>
              <w:tc>
                <w:tcPr>
                  <w:tcW w:w="1312" w:type="pc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所有合成树脂（有机硅树脂除外）</w:t>
                  </w:r>
                </w:p>
              </w:tc>
              <w:tc>
                <w:tcPr>
                  <w:tcW w:w="1000" w:type="pct"/>
                  <w:vMerge w:val="continue"/>
                  <w:noWrap w:val="0"/>
                  <w:vAlign w:val="center"/>
                </w:tcPr>
                <w:p>
                  <w:pPr>
                    <w:adjustRightInd w:val="0"/>
                    <w:snapToGrid w:val="0"/>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31" w:type="dxa"/>
                  <w:gridSpan w:val="2"/>
                  <w:noWrap w:val="0"/>
                  <w:vAlign w:val="center"/>
                </w:tcPr>
                <w:p>
                  <w:pPr>
                    <w:widowControl/>
                    <w:jc w:val="center"/>
                    <w:rPr>
                      <w:rFonts w:hint="eastAsia" w:ascii="Times New Roman" w:hAnsi="Times New Roman"/>
                      <w:color w:val="auto"/>
                      <w:sz w:val="21"/>
                      <w:szCs w:val="21"/>
                    </w:rPr>
                  </w:pPr>
                  <w:r>
                    <w:rPr>
                      <w:rFonts w:hint="eastAsia" w:ascii="Times New Roman" w:hAnsi="Times New Roman"/>
                      <w:color w:val="auto"/>
                      <w:sz w:val="21"/>
                      <w:szCs w:val="21"/>
                    </w:rPr>
                    <w:t>非甲烷总烃</w:t>
                  </w:r>
                </w:p>
              </w:tc>
              <w:tc>
                <w:tcPr>
                  <w:tcW w:w="1195" w:type="dxa"/>
                  <w:noWrap w:val="0"/>
                  <w:vAlign w:val="center"/>
                </w:tcPr>
                <w:p>
                  <w:pPr>
                    <w:widowControl/>
                    <w:jc w:val="center"/>
                    <w:rPr>
                      <w:rFonts w:hint="eastAsia" w:ascii="Times New Roman" w:hAnsi="Times New Roman"/>
                      <w:color w:val="auto"/>
                      <w:sz w:val="21"/>
                      <w:szCs w:val="21"/>
                    </w:rPr>
                  </w:pPr>
                  <w:r>
                    <w:rPr>
                      <w:color w:val="auto"/>
                      <w:sz w:val="21"/>
                      <w:szCs w:val="21"/>
                    </w:rPr>
                    <w:t>4.0</w:t>
                  </w:r>
                </w:p>
              </w:tc>
              <w:tc>
                <w:tcPr>
                  <w:tcW w:w="2190" w:type="dxa"/>
                  <w:noWrap w:val="0"/>
                  <w:vAlign w:val="center"/>
                </w:tcPr>
                <w:p>
                  <w:pPr>
                    <w:jc w:val="center"/>
                    <w:rPr>
                      <w:rFonts w:hint="eastAsia" w:ascii="Times New Roman" w:hAnsi="Times New Roman"/>
                      <w:color w:val="auto"/>
                      <w:sz w:val="21"/>
                      <w:szCs w:val="21"/>
                    </w:rPr>
                  </w:pPr>
                  <w:r>
                    <w:rPr>
                      <w:color w:val="auto"/>
                      <w:kern w:val="0"/>
                      <w:sz w:val="21"/>
                      <w:szCs w:val="21"/>
                      <w:lang w:bidi="ar"/>
                    </w:rPr>
                    <w:t>厂界无组织排放监控浓度限值</w:t>
                  </w:r>
                </w:p>
              </w:tc>
              <w:tc>
                <w:tcPr>
                  <w:tcW w:w="1667" w:type="dxa"/>
                  <w:noWrap w:val="0"/>
                  <w:vAlign w:val="center"/>
                </w:tcPr>
                <w:p>
                  <w:pPr>
                    <w:jc w:val="center"/>
                    <w:rPr>
                      <w:rFonts w:ascii="Times New Roman" w:hAnsi="Times New Roman"/>
                      <w:color w:val="auto"/>
                      <w:sz w:val="21"/>
                      <w:szCs w:val="21"/>
                    </w:rPr>
                  </w:pPr>
                  <w:r>
                    <w:rPr>
                      <w:color w:val="auto"/>
                      <w:kern w:val="0"/>
                      <w:sz w:val="21"/>
                      <w:szCs w:val="21"/>
                    </w:rPr>
                    <w:t>企业厂界</w:t>
                  </w:r>
                </w:p>
              </w:tc>
            </w:tr>
          </w:tbl>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3</w:t>
            </w:r>
            <w:r>
              <w:rPr>
                <w:rFonts w:ascii="Times New Roman" w:hAnsi="Times New Roman"/>
                <w:b/>
                <w:bCs/>
                <w:color w:val="auto"/>
                <w:sz w:val="21"/>
                <w:szCs w:val="21"/>
              </w:rPr>
              <w:t>-1</w:t>
            </w:r>
            <w:r>
              <w:rPr>
                <w:rFonts w:hint="eastAsia" w:ascii="Times New Roman" w:hAnsi="Times New Roman"/>
                <w:b/>
                <w:bCs/>
                <w:color w:val="auto"/>
                <w:sz w:val="21"/>
                <w:szCs w:val="21"/>
                <w:lang w:val="en-US" w:eastAsia="zh-CN"/>
              </w:rPr>
              <w:t>8</w:t>
            </w:r>
            <w:r>
              <w:rPr>
                <w:rFonts w:ascii="Times New Roman" w:hAnsi="Times New Roman"/>
                <w:b/>
                <w:bCs/>
                <w:color w:val="auto"/>
                <w:sz w:val="21"/>
                <w:szCs w:val="21"/>
              </w:rPr>
              <w:t xml:space="preserve">  厂区内VOC</w:t>
            </w:r>
            <w:r>
              <w:rPr>
                <w:rFonts w:ascii="Times New Roman" w:hAnsi="Times New Roman"/>
                <w:b/>
                <w:bCs/>
                <w:color w:val="auto"/>
                <w:sz w:val="21"/>
                <w:szCs w:val="21"/>
                <w:vertAlign w:val="subscript"/>
              </w:rPr>
              <w:t>S</w:t>
            </w:r>
            <w:r>
              <w:rPr>
                <w:rFonts w:ascii="Times New Roman" w:hAnsi="Times New Roman"/>
                <w:b/>
                <w:bCs/>
                <w:color w:val="auto"/>
                <w:sz w:val="21"/>
                <w:szCs w:val="21"/>
              </w:rPr>
              <w:t>无组织排放浓度限值</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1615"/>
              <w:gridCol w:w="2576"/>
              <w:gridCol w:w="2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50"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污染物项目</w:t>
                  </w:r>
                </w:p>
              </w:tc>
              <w:tc>
                <w:tcPr>
                  <w:tcW w:w="963"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排放限值</w:t>
                  </w:r>
                </w:p>
              </w:tc>
              <w:tc>
                <w:tcPr>
                  <w:tcW w:w="1536"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限值含义</w:t>
                  </w:r>
                </w:p>
              </w:tc>
              <w:tc>
                <w:tcPr>
                  <w:tcW w:w="1250"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restar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非甲烷总烃（NMHC）</w:t>
                  </w:r>
                </w:p>
              </w:tc>
              <w:tc>
                <w:tcPr>
                  <w:tcW w:w="963" w:type="pc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6</w:t>
                  </w:r>
                </w:p>
              </w:tc>
              <w:tc>
                <w:tcPr>
                  <w:tcW w:w="1536"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监控点处1h平均浓度值</w:t>
                  </w:r>
                </w:p>
              </w:tc>
              <w:tc>
                <w:tcPr>
                  <w:tcW w:w="1250" w:type="pct"/>
                  <w:vMerge w:val="restar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noWrap w:val="0"/>
                  <w:vAlign w:val="center"/>
                </w:tcPr>
                <w:p>
                  <w:pPr>
                    <w:adjustRightInd w:val="0"/>
                    <w:snapToGrid w:val="0"/>
                    <w:spacing w:line="240" w:lineRule="auto"/>
                    <w:jc w:val="center"/>
                    <w:rPr>
                      <w:rFonts w:ascii="Times New Roman" w:hAnsi="Times New Roman"/>
                      <w:color w:val="auto"/>
                      <w:sz w:val="21"/>
                      <w:szCs w:val="21"/>
                    </w:rPr>
                  </w:pPr>
                </w:p>
              </w:tc>
              <w:tc>
                <w:tcPr>
                  <w:tcW w:w="963" w:type="pct"/>
                  <w:noWrap w:val="0"/>
                  <w:vAlign w:val="center"/>
                </w:tcPr>
                <w:p>
                  <w:pPr>
                    <w:adjustRightInd w:val="0"/>
                    <w:snapToGrid w:val="0"/>
                    <w:spacing w:line="240" w:lineRule="auto"/>
                    <w:jc w:val="center"/>
                    <w:rPr>
                      <w:rFonts w:ascii="Times New Roman" w:hAnsi="Times New Roman"/>
                      <w:color w:val="auto"/>
                      <w:sz w:val="21"/>
                      <w:szCs w:val="21"/>
                    </w:rPr>
                  </w:pPr>
                  <w:r>
                    <w:rPr>
                      <w:rFonts w:hint="eastAsia" w:ascii="Times New Roman" w:hAnsi="Times New Roman"/>
                      <w:color w:val="auto"/>
                      <w:sz w:val="21"/>
                      <w:szCs w:val="21"/>
                    </w:rPr>
                    <w:t>20</w:t>
                  </w:r>
                </w:p>
              </w:tc>
              <w:tc>
                <w:tcPr>
                  <w:tcW w:w="1536"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监控点处任意一次浓度值</w:t>
                  </w:r>
                </w:p>
              </w:tc>
              <w:tc>
                <w:tcPr>
                  <w:tcW w:w="1250" w:type="pct"/>
                  <w:vMerge w:val="continue"/>
                  <w:noWrap w:val="0"/>
                  <w:vAlign w:val="center"/>
                </w:tcPr>
                <w:p>
                  <w:pPr>
                    <w:adjustRightInd w:val="0"/>
                    <w:snapToGrid w:val="0"/>
                    <w:spacing w:line="240" w:lineRule="auto"/>
                    <w:jc w:val="center"/>
                    <w:rPr>
                      <w:rFonts w:ascii="Times New Roman" w:hAnsi="Times New Roman"/>
                      <w:color w:val="auto"/>
                      <w:sz w:val="21"/>
                      <w:szCs w:val="21"/>
                    </w:rPr>
                  </w:pPr>
                </w:p>
              </w:tc>
            </w:tr>
          </w:tbl>
          <w:p>
            <w:pPr>
              <w:pStyle w:val="71"/>
              <w:spacing w:before="0" w:beforeLines="0" w:line="360" w:lineRule="auto"/>
              <w:ind w:firstLine="480" w:firstLineChars="200"/>
              <w:rPr>
                <w:rFonts w:hint="eastAsia" w:eastAsia="宋体"/>
                <w:b w:val="0"/>
                <w:bCs/>
                <w:snapToGrid w:val="0"/>
                <w:color w:val="auto"/>
                <w:sz w:val="24"/>
                <w:szCs w:val="24"/>
                <w:lang w:eastAsia="zh-CN"/>
              </w:rPr>
            </w:pPr>
            <w:r>
              <w:rPr>
                <w:rFonts w:hint="eastAsia"/>
                <w:b w:val="0"/>
                <w:bCs/>
                <w:snapToGrid w:val="0"/>
                <w:color w:val="auto"/>
                <w:sz w:val="24"/>
                <w:szCs w:val="24"/>
              </w:rPr>
              <w:t>恶臭污染物排放执行《恶臭污染物排放标准值》（GB14554-93）中二级标准</w:t>
            </w:r>
            <w:r>
              <w:rPr>
                <w:rFonts w:hint="eastAsia"/>
                <w:b w:val="0"/>
                <w:bCs/>
                <w:snapToGrid w:val="0"/>
                <w:color w:val="auto"/>
                <w:sz w:val="24"/>
                <w:szCs w:val="24"/>
                <w:lang w:eastAsia="zh-CN"/>
              </w:rPr>
              <w:t>。</w:t>
            </w:r>
          </w:p>
          <w:p>
            <w:pPr>
              <w:adjustRightInd w:val="0"/>
              <w:snapToGrid w:val="0"/>
              <w:spacing w:line="240" w:lineRule="auto"/>
              <w:jc w:val="center"/>
              <w:rPr>
                <w:rFonts w:ascii="Times New Roman" w:hAnsi="Times New Roman"/>
                <w:b/>
                <w:bCs/>
                <w:color w:val="auto"/>
                <w:sz w:val="21"/>
                <w:szCs w:val="21"/>
              </w:rPr>
            </w:pPr>
            <w:r>
              <w:rPr>
                <w:b/>
                <w:color w:val="auto"/>
                <w:sz w:val="21"/>
                <w:szCs w:val="21"/>
              </w:rPr>
              <w:t>表3-1</w:t>
            </w:r>
            <w:r>
              <w:rPr>
                <w:rFonts w:hint="eastAsia"/>
                <w:b/>
                <w:color w:val="auto"/>
                <w:sz w:val="21"/>
                <w:szCs w:val="21"/>
                <w:lang w:val="en-US" w:eastAsia="zh-CN"/>
              </w:rPr>
              <w:t xml:space="preserve">9 </w:t>
            </w:r>
            <w:r>
              <w:rPr>
                <w:rFonts w:hint="eastAsia" w:ascii="Times New Roman" w:hAnsi="Times New Roman"/>
                <w:b/>
                <w:bCs/>
                <w:color w:val="auto"/>
                <w:spacing w:val="-10"/>
                <w:sz w:val="21"/>
                <w:szCs w:val="21"/>
              </w:rPr>
              <w:t>恶臭污染物排放标准限值</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2794"/>
              <w:gridCol w:w="2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项目</w:t>
                  </w:r>
                </w:p>
              </w:tc>
              <w:tc>
                <w:tcPr>
                  <w:tcW w:w="1666"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恶臭污染因子</w:t>
                  </w:r>
                </w:p>
              </w:tc>
              <w:tc>
                <w:tcPr>
                  <w:tcW w:w="1666" w:type="pct"/>
                  <w:shd w:val="clear" w:color="auto" w:fill="DCE6F2" w:themeFill="accent1" w:themeFillTint="32"/>
                  <w:noWrap w:val="0"/>
                  <w:vAlign w:val="center"/>
                </w:tcPr>
                <w:p>
                  <w:pPr>
                    <w:adjustRightInd w:val="0"/>
                    <w:snapToGrid w:val="0"/>
                    <w:spacing w:line="240" w:lineRule="auto"/>
                    <w:jc w:val="center"/>
                    <w:rPr>
                      <w:rFonts w:ascii="Times New Roman" w:hAnsi="Times New Roman"/>
                      <w:b/>
                      <w:bCs/>
                      <w:color w:val="auto"/>
                      <w:sz w:val="21"/>
                      <w:szCs w:val="21"/>
                    </w:rPr>
                  </w:pPr>
                  <w:r>
                    <w:rPr>
                      <w:rFonts w:ascii="Times New Roman" w:hAnsi="Times New Roman"/>
                      <w:b/>
                      <w:bCs/>
                      <w:color w:val="auto"/>
                      <w:sz w:val="21"/>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排气筒高度，15m</w:t>
                  </w:r>
                </w:p>
              </w:tc>
              <w:tc>
                <w:tcPr>
                  <w:tcW w:w="1666" w:type="pct"/>
                  <w:vMerge w:val="restar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臭气浓度</w:t>
                  </w:r>
                </w:p>
              </w:tc>
              <w:tc>
                <w:tcPr>
                  <w:tcW w:w="1666"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2000（无量纲）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厂界二级新扩改建标准</w:t>
                  </w:r>
                </w:p>
              </w:tc>
              <w:tc>
                <w:tcPr>
                  <w:tcW w:w="1666" w:type="pct"/>
                  <w:vMerge w:val="continue"/>
                  <w:noWrap w:val="0"/>
                  <w:vAlign w:val="center"/>
                </w:tcPr>
                <w:p>
                  <w:pPr>
                    <w:adjustRightInd w:val="0"/>
                    <w:snapToGrid w:val="0"/>
                    <w:spacing w:line="240" w:lineRule="auto"/>
                    <w:jc w:val="center"/>
                    <w:rPr>
                      <w:rFonts w:ascii="Times New Roman" w:hAnsi="Times New Roman"/>
                      <w:color w:val="auto"/>
                      <w:sz w:val="21"/>
                      <w:szCs w:val="21"/>
                    </w:rPr>
                  </w:pPr>
                </w:p>
              </w:tc>
              <w:tc>
                <w:tcPr>
                  <w:tcW w:w="1666"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20（无量纲）</w:t>
                  </w:r>
                </w:p>
              </w:tc>
            </w:tr>
          </w:tbl>
          <w:p>
            <w:pPr>
              <w:pStyle w:val="71"/>
              <w:spacing w:before="0" w:beforeLines="0" w:line="360" w:lineRule="auto"/>
              <w:ind w:firstLine="482" w:firstLineChars="200"/>
              <w:rPr>
                <w:snapToGrid w:val="0"/>
                <w:color w:val="auto"/>
                <w:sz w:val="24"/>
                <w:szCs w:val="24"/>
              </w:rPr>
            </w:pPr>
            <w:r>
              <w:rPr>
                <w:snapToGrid w:val="0"/>
                <w:color w:val="auto"/>
                <w:sz w:val="24"/>
                <w:szCs w:val="24"/>
              </w:rPr>
              <w:t>2、废水</w:t>
            </w:r>
          </w:p>
          <w:p>
            <w:pPr>
              <w:snapToGrid w:val="0"/>
              <w:spacing w:line="360" w:lineRule="auto"/>
              <w:ind w:firstLine="480" w:firstLineChars="200"/>
              <w:jc w:val="left"/>
              <w:rPr>
                <w:b w:val="0"/>
                <w:bCs w:val="0"/>
                <w:color w:val="auto"/>
                <w:sz w:val="24"/>
                <w:szCs w:val="24"/>
              </w:rPr>
            </w:pPr>
            <w:r>
              <w:rPr>
                <w:rFonts w:ascii="Times New Roman" w:hAnsi="Times New Roman"/>
                <w:color w:val="auto"/>
                <w:sz w:val="24"/>
                <w:szCs w:val="32"/>
              </w:rPr>
              <w:t>本项目</w:t>
            </w:r>
            <w:r>
              <w:rPr>
                <w:rFonts w:hint="eastAsia" w:ascii="Times New Roman" w:hAnsi="Times New Roman"/>
                <w:color w:val="auto"/>
                <w:sz w:val="24"/>
                <w:szCs w:val="32"/>
              </w:rPr>
              <w:t>生产废水经自建污水处理站处理后循环使用不外排；</w:t>
            </w:r>
            <w:r>
              <w:rPr>
                <w:rFonts w:ascii="Times New Roman" w:hAnsi="Times New Roman"/>
                <w:color w:val="auto"/>
                <w:sz w:val="24"/>
                <w:szCs w:val="32"/>
              </w:rPr>
              <w:t>冷却水循环使用不外排；本项目无新增生活污水，生活污水</w:t>
            </w:r>
            <w:r>
              <w:rPr>
                <w:b w:val="0"/>
                <w:bCs w:val="0"/>
                <w:color w:val="auto"/>
                <w:sz w:val="24"/>
                <w:szCs w:val="24"/>
              </w:rPr>
              <w:t>执行《污水综合排放标准》(GB8978-1996)中的三级标准</w:t>
            </w:r>
            <w:r>
              <w:rPr>
                <w:rFonts w:hint="eastAsia"/>
                <w:b w:val="0"/>
                <w:bCs w:val="0"/>
                <w:color w:val="auto"/>
                <w:sz w:val="24"/>
                <w:szCs w:val="24"/>
                <w:lang w:eastAsia="zh-CN"/>
              </w:rPr>
              <w:t>。</w:t>
            </w:r>
            <w:r>
              <w:rPr>
                <w:b w:val="0"/>
                <w:bCs w:val="0"/>
                <w:color w:val="auto"/>
                <w:sz w:val="24"/>
                <w:szCs w:val="24"/>
              </w:rPr>
              <w:t>NH</w:t>
            </w:r>
            <w:r>
              <w:rPr>
                <w:b w:val="0"/>
                <w:bCs w:val="0"/>
                <w:color w:val="auto"/>
                <w:sz w:val="24"/>
                <w:szCs w:val="24"/>
                <w:vertAlign w:val="subscript"/>
              </w:rPr>
              <w:t>3</w:t>
            </w:r>
            <w:r>
              <w:rPr>
                <w:b w:val="0"/>
                <w:bCs w:val="0"/>
                <w:color w:val="auto"/>
                <w:sz w:val="24"/>
                <w:szCs w:val="24"/>
              </w:rPr>
              <w:t>-N按《污水排入城镇下水道水质标准》（GB/T31962-2015）B级标准。</w:t>
            </w:r>
          </w:p>
          <w:p>
            <w:pPr>
              <w:snapToGrid w:val="0"/>
              <w:jc w:val="right"/>
              <w:rPr>
                <w:color w:val="auto"/>
                <w:sz w:val="21"/>
                <w:szCs w:val="21"/>
              </w:rPr>
            </w:pPr>
            <w:r>
              <w:rPr>
                <w:b/>
                <w:bCs/>
                <w:color w:val="auto"/>
                <w:sz w:val="21"/>
                <w:szCs w:val="21"/>
              </w:rPr>
              <w:t>表3-</w:t>
            </w:r>
            <w:r>
              <w:rPr>
                <w:rFonts w:hint="eastAsia"/>
                <w:b/>
                <w:bCs/>
                <w:color w:val="auto"/>
                <w:sz w:val="21"/>
                <w:szCs w:val="21"/>
                <w:lang w:val="en-US" w:eastAsia="zh-CN"/>
              </w:rPr>
              <w:t xml:space="preserve">20  </w:t>
            </w:r>
            <w:r>
              <w:rPr>
                <w:b/>
                <w:bCs/>
                <w:color w:val="auto"/>
                <w:sz w:val="21"/>
                <w:szCs w:val="21"/>
              </w:rPr>
              <w:t xml:space="preserve">废水污染物排放浓度限值 </w:t>
            </w:r>
            <w:r>
              <w:rPr>
                <w:rFonts w:hint="eastAsia"/>
                <w:b/>
                <w:bCs/>
                <w:color w:val="auto"/>
                <w:sz w:val="21"/>
                <w:szCs w:val="21"/>
                <w:lang w:val="en-US" w:eastAsia="zh-CN"/>
              </w:rPr>
              <w:t xml:space="preserve">          </w:t>
            </w:r>
            <w:r>
              <w:rPr>
                <w:b/>
                <w:bCs/>
                <w:color w:val="auto"/>
                <w:sz w:val="21"/>
                <w:szCs w:val="21"/>
              </w:rPr>
              <w:t xml:space="preserve"> 单位：mg/L</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59"/>
              <w:gridCol w:w="2782"/>
              <w:gridCol w:w="2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9" w:type="dxa"/>
                  <w:vMerge w:val="restart"/>
                  <w:tcBorders>
                    <w:tl2br w:val="nil"/>
                    <w:tr2bl w:val="nil"/>
                  </w:tcBorders>
                  <w:shd w:val="clear" w:color="auto" w:fill="DCE6F2" w:themeFill="accent1" w:themeFillTint="32"/>
                  <w:noWrap w:val="0"/>
                  <w:vAlign w:val="center"/>
                </w:tcPr>
                <w:p>
                  <w:pPr>
                    <w:pStyle w:val="49"/>
                    <w:adjustRightInd w:val="0"/>
                    <w:snapToGrid w:val="0"/>
                    <w:jc w:val="center"/>
                    <w:rPr>
                      <w:b/>
                      <w:bCs/>
                      <w:color w:val="auto"/>
                      <w:kern w:val="0"/>
                      <w:sz w:val="21"/>
                      <w:szCs w:val="21"/>
                    </w:rPr>
                  </w:pPr>
                  <w:r>
                    <w:rPr>
                      <w:b/>
                      <w:bCs/>
                      <w:color w:val="auto"/>
                      <w:sz w:val="21"/>
                      <w:szCs w:val="21"/>
                    </w:rPr>
                    <w:t>评价因子</w:t>
                  </w:r>
                </w:p>
              </w:tc>
              <w:tc>
                <w:tcPr>
                  <w:tcW w:w="2782" w:type="dxa"/>
                  <w:tcBorders>
                    <w:tl2br w:val="nil"/>
                    <w:tr2bl w:val="nil"/>
                  </w:tcBorders>
                  <w:shd w:val="clear" w:color="auto" w:fill="DCE6F2" w:themeFill="accent1" w:themeFillTint="32"/>
                  <w:noWrap w:val="0"/>
                  <w:vAlign w:val="center"/>
                </w:tcPr>
                <w:p>
                  <w:pPr>
                    <w:pStyle w:val="49"/>
                    <w:adjustRightInd w:val="0"/>
                    <w:snapToGrid w:val="0"/>
                    <w:jc w:val="center"/>
                    <w:rPr>
                      <w:b/>
                      <w:bCs/>
                      <w:color w:val="auto"/>
                      <w:kern w:val="0"/>
                      <w:sz w:val="21"/>
                      <w:szCs w:val="21"/>
                      <w:shd w:val="clear" w:color="auto" w:fill="auto"/>
                    </w:rPr>
                  </w:pPr>
                  <w:r>
                    <w:rPr>
                      <w:b/>
                      <w:bCs/>
                      <w:color w:val="auto"/>
                      <w:sz w:val="21"/>
                      <w:szCs w:val="21"/>
                      <w:shd w:val="clear" w:color="auto" w:fill="auto"/>
                    </w:rPr>
                    <w:t>浓度限值（</w:t>
                  </w:r>
                  <w:r>
                    <w:rPr>
                      <w:b/>
                      <w:bCs/>
                      <w:color w:val="auto"/>
                      <w:spacing w:val="-1"/>
                      <w:sz w:val="21"/>
                      <w:szCs w:val="21"/>
                      <w:shd w:val="clear" w:color="auto" w:fill="auto"/>
                    </w:rPr>
                    <w:t>mg/L）</w:t>
                  </w:r>
                </w:p>
              </w:tc>
              <w:tc>
                <w:tcPr>
                  <w:tcW w:w="2832" w:type="dxa"/>
                  <w:vMerge w:val="restart"/>
                  <w:tcBorders>
                    <w:tl2br w:val="nil"/>
                    <w:tr2bl w:val="nil"/>
                  </w:tcBorders>
                  <w:shd w:val="clear" w:color="auto" w:fill="DCE6F2" w:themeFill="accent1" w:themeFillTint="32"/>
                  <w:noWrap w:val="0"/>
                  <w:vAlign w:val="center"/>
                </w:tcPr>
                <w:p>
                  <w:pPr>
                    <w:pStyle w:val="49"/>
                    <w:adjustRightInd w:val="0"/>
                    <w:snapToGrid w:val="0"/>
                    <w:jc w:val="center"/>
                    <w:rPr>
                      <w:b/>
                      <w:bCs/>
                      <w:color w:val="auto"/>
                      <w:kern w:val="0"/>
                      <w:sz w:val="21"/>
                      <w:szCs w:val="21"/>
                      <w:shd w:val="clear" w:color="auto" w:fill="auto"/>
                    </w:rPr>
                  </w:pPr>
                  <w:r>
                    <w:rPr>
                      <w:b/>
                      <w:bCs/>
                      <w:color w:val="auto"/>
                      <w:sz w:val="21"/>
                      <w:szCs w:val="21"/>
                      <w:shd w:val="clear" w:color="auto" w:fil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9" w:type="dxa"/>
                  <w:vMerge w:val="continue"/>
                  <w:tcBorders>
                    <w:tl2br w:val="nil"/>
                    <w:tr2bl w:val="nil"/>
                  </w:tcBorders>
                  <w:noWrap w:val="0"/>
                  <w:vAlign w:val="top"/>
                </w:tcPr>
                <w:p>
                  <w:pPr>
                    <w:adjustRightInd w:val="0"/>
                    <w:snapToGrid w:val="0"/>
                    <w:jc w:val="center"/>
                    <w:rPr>
                      <w:b/>
                      <w:bCs/>
                      <w:color w:val="auto"/>
                      <w:kern w:val="0"/>
                      <w:sz w:val="21"/>
                      <w:szCs w:val="21"/>
                    </w:rPr>
                  </w:pPr>
                </w:p>
              </w:tc>
              <w:tc>
                <w:tcPr>
                  <w:tcW w:w="2782" w:type="dxa"/>
                  <w:tcBorders>
                    <w:tl2br w:val="nil"/>
                    <w:tr2bl w:val="nil"/>
                  </w:tcBorders>
                  <w:shd w:val="clear" w:color="auto" w:fill="DCE6F2" w:themeFill="accent1" w:themeFillTint="32"/>
                  <w:noWrap w:val="0"/>
                  <w:vAlign w:val="top"/>
                </w:tcPr>
                <w:p>
                  <w:pPr>
                    <w:pStyle w:val="49"/>
                    <w:adjustRightInd w:val="0"/>
                    <w:snapToGrid w:val="0"/>
                    <w:jc w:val="center"/>
                    <w:rPr>
                      <w:b/>
                      <w:bCs/>
                      <w:color w:val="auto"/>
                      <w:kern w:val="0"/>
                      <w:sz w:val="21"/>
                      <w:szCs w:val="21"/>
                      <w:shd w:val="clear" w:color="auto" w:fill="auto"/>
                    </w:rPr>
                  </w:pPr>
                  <w:r>
                    <w:rPr>
                      <w:b/>
                      <w:bCs/>
                      <w:color w:val="auto"/>
                      <w:sz w:val="21"/>
                      <w:szCs w:val="21"/>
                      <w:shd w:val="clear" w:color="auto" w:fill="auto"/>
                    </w:rPr>
                    <w:t>1</w:t>
                  </w:r>
                  <w:r>
                    <w:rPr>
                      <w:b/>
                      <w:bCs/>
                      <w:color w:val="auto"/>
                      <w:spacing w:val="-1"/>
                      <w:sz w:val="21"/>
                      <w:szCs w:val="21"/>
                      <w:shd w:val="clear" w:color="auto" w:fill="auto"/>
                    </w:rPr>
                    <w:t xml:space="preserve"> </w:t>
                  </w:r>
                  <w:r>
                    <w:rPr>
                      <w:b/>
                      <w:bCs/>
                      <w:color w:val="auto"/>
                      <w:sz w:val="21"/>
                      <w:szCs w:val="21"/>
                      <w:shd w:val="clear" w:color="auto" w:fill="auto"/>
                    </w:rPr>
                    <w:t>小时平均</w:t>
                  </w:r>
                </w:p>
              </w:tc>
              <w:tc>
                <w:tcPr>
                  <w:tcW w:w="2832" w:type="dxa"/>
                  <w:vMerge w:val="continue"/>
                  <w:tcBorders>
                    <w:tl2br w:val="nil"/>
                    <w:tr2bl w:val="nil"/>
                  </w:tcBorders>
                  <w:noWrap w:val="0"/>
                  <w:vAlign w:val="top"/>
                </w:tcPr>
                <w:p>
                  <w:pPr>
                    <w:overflowPunct w:val="0"/>
                    <w:autoSpaceDE w:val="0"/>
                    <w:autoSpaceDN w:val="0"/>
                    <w:adjustRightInd w:val="0"/>
                    <w:jc w:val="left"/>
                    <w:rPr>
                      <w:color w:val="auto"/>
                      <w:kern w:val="0"/>
                      <w:sz w:val="21"/>
                      <w:szCs w:val="21"/>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9" w:type="dxa"/>
                  <w:tcBorders>
                    <w:tl2br w:val="nil"/>
                    <w:tr2bl w:val="nil"/>
                  </w:tcBorders>
                  <w:noWrap w:val="0"/>
                  <w:vAlign w:val="top"/>
                </w:tcPr>
                <w:p>
                  <w:pPr>
                    <w:pStyle w:val="49"/>
                    <w:adjustRightInd w:val="0"/>
                    <w:snapToGrid w:val="0"/>
                    <w:jc w:val="center"/>
                    <w:rPr>
                      <w:color w:val="auto"/>
                      <w:kern w:val="0"/>
                      <w:sz w:val="21"/>
                      <w:szCs w:val="21"/>
                    </w:rPr>
                  </w:pPr>
                  <w:r>
                    <w:rPr>
                      <w:color w:val="auto"/>
                      <w:sz w:val="21"/>
                      <w:szCs w:val="21"/>
                    </w:rPr>
                    <w:t>pH</w:t>
                  </w:r>
                </w:p>
              </w:tc>
              <w:tc>
                <w:tcPr>
                  <w:tcW w:w="2782" w:type="dxa"/>
                  <w:tcBorders>
                    <w:tl2br w:val="nil"/>
                    <w:tr2bl w:val="nil"/>
                  </w:tcBorders>
                  <w:noWrap w:val="0"/>
                  <w:vAlign w:val="top"/>
                </w:tcPr>
                <w:p>
                  <w:pPr>
                    <w:pStyle w:val="49"/>
                    <w:adjustRightInd w:val="0"/>
                    <w:snapToGrid w:val="0"/>
                    <w:jc w:val="center"/>
                    <w:rPr>
                      <w:color w:val="auto"/>
                      <w:kern w:val="0"/>
                      <w:sz w:val="21"/>
                      <w:szCs w:val="21"/>
                    </w:rPr>
                  </w:pPr>
                  <w:r>
                    <w:rPr>
                      <w:color w:val="auto"/>
                      <w:spacing w:val="-1"/>
                      <w:sz w:val="21"/>
                      <w:szCs w:val="21"/>
                    </w:rPr>
                    <w:t>6~9</w:t>
                  </w:r>
                </w:p>
              </w:tc>
              <w:tc>
                <w:tcPr>
                  <w:tcW w:w="2832" w:type="dxa"/>
                  <w:vMerge w:val="restart"/>
                  <w:tcBorders>
                    <w:tl2br w:val="nil"/>
                    <w:tr2bl w:val="nil"/>
                  </w:tcBorders>
                  <w:noWrap w:val="0"/>
                  <w:vAlign w:val="center"/>
                </w:tcPr>
                <w:p>
                  <w:pPr>
                    <w:pStyle w:val="49"/>
                    <w:adjustRightInd w:val="0"/>
                    <w:snapToGrid w:val="0"/>
                    <w:jc w:val="center"/>
                    <w:rPr>
                      <w:color w:val="auto"/>
                      <w:kern w:val="0"/>
                      <w:sz w:val="21"/>
                      <w:szCs w:val="21"/>
                    </w:rPr>
                  </w:pPr>
                  <w:r>
                    <w:rPr>
                      <w:color w:val="auto"/>
                      <w:sz w:val="21"/>
                      <w:szCs w:val="21"/>
                    </w:rPr>
                    <w:t>《污水综合排放标准》(GB8978-1996)中的三级标准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759" w:type="dxa"/>
                  <w:tcBorders>
                    <w:tl2br w:val="nil"/>
                    <w:tr2bl w:val="nil"/>
                  </w:tcBorders>
                  <w:noWrap w:val="0"/>
                  <w:vAlign w:val="top"/>
                </w:tcPr>
                <w:p>
                  <w:pPr>
                    <w:pStyle w:val="49"/>
                    <w:adjustRightInd w:val="0"/>
                    <w:snapToGrid w:val="0"/>
                    <w:jc w:val="center"/>
                    <w:rPr>
                      <w:color w:val="auto"/>
                      <w:kern w:val="0"/>
                      <w:sz w:val="21"/>
                      <w:szCs w:val="21"/>
                    </w:rPr>
                  </w:pPr>
                  <w:r>
                    <w:rPr>
                      <w:color w:val="auto"/>
                      <w:spacing w:val="-1"/>
                      <w:position w:val="2"/>
                      <w:sz w:val="21"/>
                      <w:szCs w:val="21"/>
                    </w:rPr>
                    <w:t>COD</w:t>
                  </w:r>
                  <w:r>
                    <w:rPr>
                      <w:color w:val="auto"/>
                      <w:spacing w:val="-1"/>
                      <w:sz w:val="21"/>
                      <w:szCs w:val="21"/>
                      <w:vertAlign w:val="subscript"/>
                    </w:rPr>
                    <w:t>Cr</w:t>
                  </w:r>
                </w:p>
              </w:tc>
              <w:tc>
                <w:tcPr>
                  <w:tcW w:w="2782" w:type="dxa"/>
                  <w:tcBorders>
                    <w:tl2br w:val="nil"/>
                    <w:tr2bl w:val="nil"/>
                  </w:tcBorders>
                  <w:noWrap w:val="0"/>
                  <w:vAlign w:val="top"/>
                </w:tcPr>
                <w:p>
                  <w:pPr>
                    <w:pStyle w:val="49"/>
                    <w:adjustRightInd w:val="0"/>
                    <w:snapToGrid w:val="0"/>
                    <w:jc w:val="center"/>
                    <w:rPr>
                      <w:color w:val="auto"/>
                      <w:kern w:val="0"/>
                      <w:sz w:val="21"/>
                      <w:szCs w:val="21"/>
                    </w:rPr>
                  </w:pPr>
                  <w:r>
                    <w:rPr>
                      <w:color w:val="auto"/>
                      <w:spacing w:val="-1"/>
                      <w:sz w:val="21"/>
                      <w:szCs w:val="21"/>
                    </w:rPr>
                    <w:t>500</w:t>
                  </w:r>
                </w:p>
              </w:tc>
              <w:tc>
                <w:tcPr>
                  <w:tcW w:w="2832" w:type="dxa"/>
                  <w:vMerge w:val="continue"/>
                  <w:tcBorders>
                    <w:tl2br w:val="nil"/>
                    <w:tr2bl w:val="nil"/>
                  </w:tcBorders>
                  <w:noWrap w:val="0"/>
                  <w:vAlign w:val="top"/>
                </w:tcPr>
                <w:p>
                  <w:pPr>
                    <w:overflowPunct w:val="0"/>
                    <w:autoSpaceDE w:val="0"/>
                    <w:autoSpaceDN w:val="0"/>
                    <w:adjustRightInd w:val="0"/>
                    <w:jc w:val="left"/>
                    <w:rPr>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9" w:type="dxa"/>
                  <w:tcBorders>
                    <w:tl2br w:val="nil"/>
                    <w:tr2bl w:val="nil"/>
                  </w:tcBorders>
                  <w:noWrap w:val="0"/>
                  <w:vAlign w:val="top"/>
                </w:tcPr>
                <w:p>
                  <w:pPr>
                    <w:pStyle w:val="49"/>
                    <w:adjustRightInd w:val="0"/>
                    <w:snapToGrid w:val="0"/>
                    <w:jc w:val="center"/>
                    <w:rPr>
                      <w:color w:val="auto"/>
                      <w:kern w:val="0"/>
                      <w:sz w:val="21"/>
                      <w:szCs w:val="21"/>
                    </w:rPr>
                  </w:pPr>
                  <w:r>
                    <w:rPr>
                      <w:color w:val="auto"/>
                      <w:spacing w:val="-1"/>
                      <w:position w:val="2"/>
                      <w:sz w:val="21"/>
                      <w:szCs w:val="21"/>
                    </w:rPr>
                    <w:t>BOD</w:t>
                  </w:r>
                  <w:r>
                    <w:rPr>
                      <w:color w:val="auto"/>
                      <w:spacing w:val="-1"/>
                      <w:sz w:val="21"/>
                      <w:szCs w:val="21"/>
                      <w:vertAlign w:val="subscript"/>
                    </w:rPr>
                    <w:t>5</w:t>
                  </w:r>
                </w:p>
              </w:tc>
              <w:tc>
                <w:tcPr>
                  <w:tcW w:w="2782" w:type="dxa"/>
                  <w:tcBorders>
                    <w:tl2br w:val="nil"/>
                    <w:tr2bl w:val="nil"/>
                  </w:tcBorders>
                  <w:noWrap w:val="0"/>
                  <w:vAlign w:val="top"/>
                </w:tcPr>
                <w:p>
                  <w:pPr>
                    <w:pStyle w:val="49"/>
                    <w:adjustRightInd w:val="0"/>
                    <w:snapToGrid w:val="0"/>
                    <w:jc w:val="center"/>
                    <w:rPr>
                      <w:color w:val="auto"/>
                      <w:kern w:val="0"/>
                      <w:sz w:val="21"/>
                      <w:szCs w:val="21"/>
                    </w:rPr>
                  </w:pPr>
                  <w:r>
                    <w:rPr>
                      <w:color w:val="auto"/>
                      <w:spacing w:val="-1"/>
                      <w:sz w:val="21"/>
                      <w:szCs w:val="21"/>
                    </w:rPr>
                    <w:t>300</w:t>
                  </w:r>
                </w:p>
              </w:tc>
              <w:tc>
                <w:tcPr>
                  <w:tcW w:w="2832" w:type="dxa"/>
                  <w:vMerge w:val="continue"/>
                  <w:tcBorders>
                    <w:tl2br w:val="nil"/>
                    <w:tr2bl w:val="nil"/>
                  </w:tcBorders>
                  <w:noWrap w:val="0"/>
                  <w:vAlign w:val="top"/>
                </w:tcPr>
                <w:p>
                  <w:pPr>
                    <w:overflowPunct w:val="0"/>
                    <w:autoSpaceDE w:val="0"/>
                    <w:autoSpaceDN w:val="0"/>
                    <w:adjustRightInd w:val="0"/>
                    <w:jc w:val="left"/>
                    <w:rPr>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9" w:type="dxa"/>
                  <w:tcBorders>
                    <w:tl2br w:val="nil"/>
                    <w:tr2bl w:val="nil"/>
                  </w:tcBorders>
                  <w:noWrap w:val="0"/>
                  <w:vAlign w:val="top"/>
                </w:tcPr>
                <w:p>
                  <w:pPr>
                    <w:pStyle w:val="49"/>
                    <w:adjustRightInd w:val="0"/>
                    <w:snapToGrid w:val="0"/>
                    <w:jc w:val="center"/>
                    <w:rPr>
                      <w:color w:val="auto"/>
                      <w:kern w:val="0"/>
                      <w:sz w:val="21"/>
                      <w:szCs w:val="21"/>
                    </w:rPr>
                  </w:pPr>
                  <w:r>
                    <w:rPr>
                      <w:color w:val="auto"/>
                      <w:spacing w:val="-2"/>
                      <w:sz w:val="21"/>
                      <w:szCs w:val="21"/>
                    </w:rPr>
                    <w:t>SS</w:t>
                  </w:r>
                </w:p>
              </w:tc>
              <w:tc>
                <w:tcPr>
                  <w:tcW w:w="2782" w:type="dxa"/>
                  <w:tcBorders>
                    <w:tl2br w:val="nil"/>
                    <w:tr2bl w:val="nil"/>
                  </w:tcBorders>
                  <w:noWrap w:val="0"/>
                  <w:vAlign w:val="top"/>
                </w:tcPr>
                <w:p>
                  <w:pPr>
                    <w:pStyle w:val="49"/>
                    <w:adjustRightInd w:val="0"/>
                    <w:snapToGrid w:val="0"/>
                    <w:jc w:val="center"/>
                    <w:rPr>
                      <w:color w:val="auto"/>
                      <w:kern w:val="0"/>
                      <w:sz w:val="21"/>
                      <w:szCs w:val="21"/>
                    </w:rPr>
                  </w:pPr>
                  <w:r>
                    <w:rPr>
                      <w:color w:val="auto"/>
                      <w:spacing w:val="-1"/>
                      <w:sz w:val="21"/>
                      <w:szCs w:val="21"/>
                    </w:rPr>
                    <w:t>400</w:t>
                  </w:r>
                </w:p>
              </w:tc>
              <w:tc>
                <w:tcPr>
                  <w:tcW w:w="2832" w:type="dxa"/>
                  <w:vMerge w:val="continue"/>
                  <w:tcBorders>
                    <w:tl2br w:val="nil"/>
                    <w:tr2bl w:val="nil"/>
                  </w:tcBorders>
                  <w:noWrap w:val="0"/>
                  <w:vAlign w:val="top"/>
                </w:tcPr>
                <w:p>
                  <w:pPr>
                    <w:overflowPunct w:val="0"/>
                    <w:autoSpaceDE w:val="0"/>
                    <w:autoSpaceDN w:val="0"/>
                    <w:adjustRightInd w:val="0"/>
                    <w:jc w:val="left"/>
                    <w:rPr>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759" w:type="dxa"/>
                  <w:tcBorders>
                    <w:tl2br w:val="nil"/>
                    <w:tr2bl w:val="nil"/>
                  </w:tcBorders>
                  <w:noWrap w:val="0"/>
                  <w:vAlign w:val="top"/>
                </w:tcPr>
                <w:p>
                  <w:pPr>
                    <w:pStyle w:val="49"/>
                    <w:adjustRightInd w:val="0"/>
                    <w:snapToGrid w:val="0"/>
                    <w:jc w:val="center"/>
                    <w:rPr>
                      <w:color w:val="auto"/>
                      <w:kern w:val="0"/>
                      <w:sz w:val="21"/>
                      <w:szCs w:val="21"/>
                    </w:rPr>
                  </w:pPr>
                  <w:r>
                    <w:rPr>
                      <w:color w:val="auto"/>
                      <w:sz w:val="21"/>
                      <w:szCs w:val="21"/>
                    </w:rPr>
                    <w:t>氨氮</w:t>
                  </w:r>
                </w:p>
              </w:tc>
              <w:tc>
                <w:tcPr>
                  <w:tcW w:w="2782" w:type="dxa"/>
                  <w:tcBorders>
                    <w:tl2br w:val="nil"/>
                    <w:tr2bl w:val="nil"/>
                  </w:tcBorders>
                  <w:noWrap w:val="0"/>
                  <w:vAlign w:val="top"/>
                </w:tcPr>
                <w:p>
                  <w:pPr>
                    <w:pStyle w:val="49"/>
                    <w:adjustRightInd w:val="0"/>
                    <w:snapToGrid w:val="0"/>
                    <w:jc w:val="center"/>
                    <w:rPr>
                      <w:color w:val="auto"/>
                      <w:kern w:val="0"/>
                      <w:sz w:val="21"/>
                      <w:szCs w:val="21"/>
                    </w:rPr>
                  </w:pPr>
                  <w:r>
                    <w:rPr>
                      <w:color w:val="auto"/>
                      <w:spacing w:val="1"/>
                      <w:sz w:val="21"/>
                      <w:szCs w:val="21"/>
                    </w:rPr>
                    <w:t>45</w:t>
                  </w:r>
                </w:p>
              </w:tc>
              <w:tc>
                <w:tcPr>
                  <w:tcW w:w="2832" w:type="dxa"/>
                  <w:vMerge w:val="continue"/>
                  <w:tcBorders>
                    <w:tl2br w:val="nil"/>
                    <w:tr2bl w:val="nil"/>
                  </w:tcBorders>
                  <w:noWrap w:val="0"/>
                  <w:vAlign w:val="top"/>
                </w:tcPr>
                <w:p>
                  <w:pPr>
                    <w:overflowPunct w:val="0"/>
                    <w:autoSpaceDE w:val="0"/>
                    <w:autoSpaceDN w:val="0"/>
                    <w:adjustRightInd w:val="0"/>
                    <w:jc w:val="left"/>
                    <w:rPr>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9" w:type="dxa"/>
                  <w:tcBorders>
                    <w:tl2br w:val="nil"/>
                    <w:tr2bl w:val="nil"/>
                  </w:tcBorders>
                  <w:noWrap w:val="0"/>
                  <w:vAlign w:val="top"/>
                </w:tcPr>
                <w:p>
                  <w:pPr>
                    <w:pStyle w:val="49"/>
                    <w:adjustRightInd w:val="0"/>
                    <w:snapToGrid w:val="0"/>
                    <w:jc w:val="center"/>
                    <w:rPr>
                      <w:color w:val="auto"/>
                      <w:kern w:val="0"/>
                      <w:sz w:val="21"/>
                      <w:szCs w:val="21"/>
                    </w:rPr>
                  </w:pPr>
                  <w:r>
                    <w:rPr>
                      <w:color w:val="auto"/>
                      <w:sz w:val="21"/>
                      <w:szCs w:val="21"/>
                    </w:rPr>
                    <w:t>TP</w:t>
                  </w:r>
                </w:p>
              </w:tc>
              <w:tc>
                <w:tcPr>
                  <w:tcW w:w="2782" w:type="dxa"/>
                  <w:tcBorders>
                    <w:tl2br w:val="nil"/>
                    <w:tr2bl w:val="nil"/>
                  </w:tcBorders>
                  <w:noWrap w:val="0"/>
                  <w:vAlign w:val="top"/>
                </w:tcPr>
                <w:p>
                  <w:pPr>
                    <w:pStyle w:val="49"/>
                    <w:adjustRightInd w:val="0"/>
                    <w:snapToGrid w:val="0"/>
                    <w:jc w:val="center"/>
                    <w:rPr>
                      <w:color w:val="auto"/>
                      <w:kern w:val="0"/>
                      <w:sz w:val="21"/>
                      <w:szCs w:val="21"/>
                    </w:rPr>
                  </w:pPr>
                  <w:r>
                    <w:rPr>
                      <w:color w:val="auto"/>
                      <w:sz w:val="21"/>
                      <w:szCs w:val="21"/>
                    </w:rPr>
                    <w:t>8</w:t>
                  </w:r>
                </w:p>
              </w:tc>
              <w:tc>
                <w:tcPr>
                  <w:tcW w:w="2832" w:type="dxa"/>
                  <w:vMerge w:val="continue"/>
                  <w:tcBorders>
                    <w:tl2br w:val="nil"/>
                    <w:tr2bl w:val="nil"/>
                  </w:tcBorders>
                  <w:noWrap w:val="0"/>
                  <w:vAlign w:val="top"/>
                </w:tcPr>
                <w:p>
                  <w:pPr>
                    <w:overflowPunct w:val="0"/>
                    <w:autoSpaceDE w:val="0"/>
                    <w:autoSpaceDN w:val="0"/>
                    <w:adjustRightInd w:val="0"/>
                    <w:jc w:val="left"/>
                    <w:rPr>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9" w:type="dxa"/>
                  <w:tcBorders>
                    <w:tl2br w:val="nil"/>
                    <w:tr2bl w:val="nil"/>
                  </w:tcBorders>
                  <w:noWrap w:val="0"/>
                  <w:vAlign w:val="top"/>
                </w:tcPr>
                <w:p>
                  <w:pPr>
                    <w:pStyle w:val="49"/>
                    <w:adjustRightInd w:val="0"/>
                    <w:snapToGrid w:val="0"/>
                    <w:jc w:val="center"/>
                    <w:rPr>
                      <w:color w:val="auto"/>
                      <w:kern w:val="0"/>
                      <w:sz w:val="21"/>
                      <w:szCs w:val="21"/>
                    </w:rPr>
                  </w:pPr>
                  <w:r>
                    <w:rPr>
                      <w:color w:val="auto"/>
                      <w:sz w:val="21"/>
                      <w:szCs w:val="21"/>
                    </w:rPr>
                    <w:t>动植物油</w:t>
                  </w:r>
                </w:p>
              </w:tc>
              <w:tc>
                <w:tcPr>
                  <w:tcW w:w="2782" w:type="dxa"/>
                  <w:tcBorders>
                    <w:tl2br w:val="nil"/>
                    <w:tr2bl w:val="nil"/>
                  </w:tcBorders>
                  <w:noWrap w:val="0"/>
                  <w:vAlign w:val="top"/>
                </w:tcPr>
                <w:p>
                  <w:pPr>
                    <w:pStyle w:val="49"/>
                    <w:adjustRightInd w:val="0"/>
                    <w:snapToGrid w:val="0"/>
                    <w:jc w:val="center"/>
                    <w:rPr>
                      <w:color w:val="auto"/>
                      <w:kern w:val="0"/>
                      <w:sz w:val="21"/>
                      <w:szCs w:val="21"/>
                    </w:rPr>
                  </w:pPr>
                  <w:r>
                    <w:rPr>
                      <w:color w:val="auto"/>
                      <w:spacing w:val="1"/>
                      <w:sz w:val="21"/>
                      <w:szCs w:val="21"/>
                    </w:rPr>
                    <w:t>100</w:t>
                  </w:r>
                </w:p>
              </w:tc>
              <w:tc>
                <w:tcPr>
                  <w:tcW w:w="2832" w:type="dxa"/>
                  <w:vMerge w:val="continue"/>
                  <w:tcBorders>
                    <w:tl2br w:val="nil"/>
                    <w:tr2bl w:val="nil"/>
                  </w:tcBorders>
                  <w:noWrap w:val="0"/>
                  <w:vAlign w:val="top"/>
                </w:tcPr>
                <w:p>
                  <w:pPr>
                    <w:overflowPunct w:val="0"/>
                    <w:autoSpaceDE w:val="0"/>
                    <w:autoSpaceDN w:val="0"/>
                    <w:adjustRightInd w:val="0"/>
                    <w:jc w:val="left"/>
                    <w:rPr>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73" w:type="dxa"/>
                  <w:gridSpan w:val="3"/>
                  <w:tcBorders>
                    <w:tl2br w:val="nil"/>
                    <w:tr2bl w:val="nil"/>
                  </w:tcBorders>
                  <w:noWrap w:val="0"/>
                  <w:vAlign w:val="top"/>
                </w:tcPr>
                <w:p>
                  <w:pPr>
                    <w:overflowPunct w:val="0"/>
                    <w:autoSpaceDE w:val="0"/>
                    <w:autoSpaceDN w:val="0"/>
                    <w:adjustRightInd w:val="0"/>
                    <w:jc w:val="left"/>
                    <w:rPr>
                      <w:rFonts w:hint="eastAsia" w:eastAsia="宋体"/>
                      <w:color w:val="auto"/>
                      <w:kern w:val="0"/>
                      <w:sz w:val="21"/>
                      <w:szCs w:val="21"/>
                      <w:lang w:eastAsia="zh-CN"/>
                    </w:rPr>
                  </w:pPr>
                  <w:r>
                    <w:rPr>
                      <w:b w:val="0"/>
                      <w:bCs w:val="0"/>
                      <w:color w:val="auto"/>
                      <w:sz w:val="21"/>
                      <w:szCs w:val="21"/>
                    </w:rPr>
                    <w:t>NH</w:t>
                  </w:r>
                  <w:r>
                    <w:rPr>
                      <w:b w:val="0"/>
                      <w:bCs w:val="0"/>
                      <w:color w:val="auto"/>
                      <w:sz w:val="21"/>
                      <w:szCs w:val="21"/>
                      <w:vertAlign w:val="subscript"/>
                    </w:rPr>
                    <w:t>3</w:t>
                  </w:r>
                  <w:r>
                    <w:rPr>
                      <w:b w:val="0"/>
                      <w:bCs w:val="0"/>
                      <w:color w:val="auto"/>
                      <w:sz w:val="21"/>
                      <w:szCs w:val="21"/>
                    </w:rPr>
                    <w:t>-N、TP按《污水排入城镇下水道水质标准》（GB/T31962-2015）B级标准</w:t>
                  </w:r>
                  <w:r>
                    <w:rPr>
                      <w:rFonts w:hint="eastAsia"/>
                      <w:b w:val="0"/>
                      <w:bCs w:val="0"/>
                      <w:color w:val="auto"/>
                      <w:sz w:val="21"/>
                      <w:szCs w:val="21"/>
                      <w:lang w:eastAsia="zh-CN"/>
                    </w:rPr>
                    <w:t>。</w:t>
                  </w:r>
                </w:p>
              </w:tc>
            </w:tr>
          </w:tbl>
          <w:p>
            <w:pPr>
              <w:pStyle w:val="71"/>
              <w:spacing w:before="0" w:beforeLines="0" w:line="360" w:lineRule="auto"/>
              <w:ind w:firstLine="482" w:firstLineChars="200"/>
              <w:rPr>
                <w:snapToGrid w:val="0"/>
                <w:color w:val="auto"/>
                <w:sz w:val="24"/>
                <w:szCs w:val="24"/>
              </w:rPr>
            </w:pPr>
            <w:r>
              <w:rPr>
                <w:snapToGrid w:val="0"/>
                <w:color w:val="auto"/>
                <w:sz w:val="24"/>
                <w:szCs w:val="24"/>
              </w:rPr>
              <w:t>3、噪声</w:t>
            </w:r>
          </w:p>
          <w:p>
            <w:pPr>
              <w:pStyle w:val="69"/>
              <w:spacing w:line="360" w:lineRule="auto"/>
              <w:rPr>
                <w:color w:val="auto"/>
                <w:sz w:val="24"/>
                <w:szCs w:val="24"/>
              </w:rPr>
            </w:pPr>
            <w:r>
              <w:rPr>
                <w:color w:val="auto"/>
                <w:sz w:val="24"/>
                <w:szCs w:val="24"/>
              </w:rPr>
              <w:t>施工期噪声执行《建筑施工场界环境噪声排放标准》（GB12523-2011）标准限值；营运期噪声</w:t>
            </w:r>
            <w:r>
              <w:rPr>
                <w:rFonts w:hint="eastAsia"/>
                <w:color w:val="auto"/>
                <w:sz w:val="24"/>
                <w:szCs w:val="24"/>
                <w:lang w:val="en-US" w:eastAsia="zh-CN"/>
              </w:rPr>
              <w:t>厂界</w:t>
            </w:r>
            <w:r>
              <w:rPr>
                <w:color w:val="auto"/>
                <w:sz w:val="24"/>
                <w:szCs w:val="24"/>
              </w:rPr>
              <w:t>噪声排放执行《工业企业厂界环境噪声排放标准》（GB12348-2008）中</w:t>
            </w:r>
            <w:r>
              <w:rPr>
                <w:rFonts w:hint="eastAsia"/>
                <w:color w:val="auto"/>
                <w:sz w:val="24"/>
                <w:szCs w:val="24"/>
                <w:lang w:val="en-US" w:eastAsia="zh-CN"/>
              </w:rPr>
              <w:t>3</w:t>
            </w:r>
            <w:r>
              <w:rPr>
                <w:color w:val="auto"/>
                <w:sz w:val="24"/>
                <w:szCs w:val="24"/>
              </w:rPr>
              <w:t>类声环境功能区标准。</w:t>
            </w:r>
          </w:p>
          <w:p>
            <w:pPr>
              <w:pStyle w:val="72"/>
              <w:spacing w:after="0" w:afterLines="0" w:line="240" w:lineRule="auto"/>
              <w:ind w:firstLine="0" w:firstLineChars="0"/>
              <w:jc w:val="center"/>
              <w:rPr>
                <w:color w:val="auto"/>
                <w:sz w:val="21"/>
                <w:szCs w:val="21"/>
              </w:rPr>
            </w:pPr>
            <w:r>
              <w:rPr>
                <w:color w:val="auto"/>
                <w:sz w:val="21"/>
                <w:szCs w:val="21"/>
              </w:rPr>
              <w:t>表3-</w:t>
            </w:r>
            <w:r>
              <w:rPr>
                <w:rFonts w:hint="eastAsia"/>
                <w:color w:val="auto"/>
                <w:sz w:val="21"/>
                <w:szCs w:val="21"/>
                <w:lang w:val="en-US" w:eastAsia="zh-CN"/>
              </w:rPr>
              <w:t>21</w:t>
            </w:r>
            <w:r>
              <w:rPr>
                <w:color w:val="auto"/>
                <w:sz w:val="21"/>
                <w:szCs w:val="21"/>
              </w:rPr>
              <w:t xml:space="preserve"> 噪声评价标准限值</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35"/>
              <w:gridCol w:w="2078"/>
              <w:gridCol w:w="2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35" w:type="dxa"/>
                  <w:vMerge w:val="restart"/>
                  <w:shd w:val="clear" w:color="auto" w:fill="DCE6F2" w:themeFill="accent1" w:themeFillTint="32"/>
                  <w:noWrap w:val="0"/>
                  <w:vAlign w:val="center"/>
                </w:tcPr>
                <w:p>
                  <w:pPr>
                    <w:adjustRightInd w:val="0"/>
                    <w:snapToGrid w:val="0"/>
                    <w:jc w:val="center"/>
                    <w:rPr>
                      <w:b/>
                      <w:color w:val="auto"/>
                      <w:sz w:val="21"/>
                      <w:szCs w:val="21"/>
                    </w:rPr>
                  </w:pPr>
                  <w:r>
                    <w:rPr>
                      <w:b/>
                      <w:color w:val="auto"/>
                      <w:sz w:val="21"/>
                      <w:szCs w:val="21"/>
                    </w:rPr>
                    <w:t>标准</w:t>
                  </w:r>
                </w:p>
              </w:tc>
              <w:tc>
                <w:tcPr>
                  <w:tcW w:w="4093" w:type="dxa"/>
                  <w:gridSpan w:val="2"/>
                  <w:shd w:val="clear" w:color="auto" w:fill="DCE6F2" w:themeFill="accent1" w:themeFillTint="32"/>
                  <w:noWrap w:val="0"/>
                  <w:vAlign w:val="center"/>
                </w:tcPr>
                <w:p>
                  <w:pPr>
                    <w:adjustRightInd w:val="0"/>
                    <w:snapToGrid w:val="0"/>
                    <w:jc w:val="center"/>
                    <w:rPr>
                      <w:b/>
                      <w:bCs/>
                      <w:color w:val="auto"/>
                      <w:sz w:val="21"/>
                      <w:szCs w:val="21"/>
                    </w:rPr>
                  </w:pPr>
                  <w:r>
                    <w:rPr>
                      <w:b/>
                      <w:bCs/>
                      <w:color w:val="auto"/>
                      <w:sz w:val="21"/>
                      <w:szCs w:val="21"/>
                    </w:rPr>
                    <w:t>噪声值dB（A）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35" w:type="dxa"/>
                  <w:vMerge w:val="continue"/>
                  <w:shd w:val="clear" w:color="auto" w:fill="DCE6F2" w:themeFill="accent1" w:themeFillTint="32"/>
                  <w:noWrap w:val="0"/>
                  <w:vAlign w:val="center"/>
                </w:tcPr>
                <w:p>
                  <w:pPr>
                    <w:adjustRightInd w:val="0"/>
                    <w:snapToGrid w:val="0"/>
                    <w:jc w:val="center"/>
                    <w:rPr>
                      <w:b/>
                      <w:bCs/>
                      <w:color w:val="auto"/>
                      <w:sz w:val="21"/>
                      <w:szCs w:val="21"/>
                    </w:rPr>
                  </w:pPr>
                </w:p>
              </w:tc>
              <w:tc>
                <w:tcPr>
                  <w:tcW w:w="2078" w:type="dxa"/>
                  <w:shd w:val="clear" w:color="auto" w:fill="DCE6F2" w:themeFill="accent1" w:themeFillTint="32"/>
                  <w:noWrap w:val="0"/>
                  <w:vAlign w:val="center"/>
                </w:tcPr>
                <w:p>
                  <w:pPr>
                    <w:adjustRightInd w:val="0"/>
                    <w:snapToGrid w:val="0"/>
                    <w:jc w:val="center"/>
                    <w:rPr>
                      <w:b/>
                      <w:bCs/>
                      <w:color w:val="auto"/>
                      <w:sz w:val="21"/>
                      <w:szCs w:val="21"/>
                    </w:rPr>
                  </w:pPr>
                  <w:r>
                    <w:rPr>
                      <w:b/>
                      <w:bCs/>
                      <w:color w:val="auto"/>
                      <w:sz w:val="21"/>
                      <w:szCs w:val="21"/>
                    </w:rPr>
                    <w:t>昼  间</w:t>
                  </w:r>
                </w:p>
              </w:tc>
              <w:tc>
                <w:tcPr>
                  <w:tcW w:w="2015" w:type="dxa"/>
                  <w:shd w:val="clear" w:color="auto" w:fill="DCE6F2" w:themeFill="accent1" w:themeFillTint="32"/>
                  <w:noWrap w:val="0"/>
                  <w:vAlign w:val="center"/>
                </w:tcPr>
                <w:p>
                  <w:pPr>
                    <w:adjustRightInd w:val="0"/>
                    <w:snapToGrid w:val="0"/>
                    <w:jc w:val="center"/>
                    <w:rPr>
                      <w:b/>
                      <w:bCs/>
                      <w:color w:val="auto"/>
                      <w:sz w:val="21"/>
                      <w:szCs w:val="21"/>
                    </w:rPr>
                  </w:pPr>
                  <w:r>
                    <w:rPr>
                      <w:b/>
                      <w:bCs/>
                      <w:color w:val="auto"/>
                      <w:sz w:val="21"/>
                      <w:szCs w:val="21"/>
                    </w:rPr>
                    <w:t>夜  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35" w:type="dxa"/>
                  <w:noWrap w:val="0"/>
                  <w:vAlign w:val="center"/>
                </w:tcPr>
                <w:p>
                  <w:pPr>
                    <w:adjustRightInd w:val="0"/>
                    <w:snapToGrid w:val="0"/>
                    <w:jc w:val="center"/>
                    <w:rPr>
                      <w:color w:val="auto"/>
                      <w:sz w:val="21"/>
                      <w:szCs w:val="21"/>
                    </w:rPr>
                  </w:pPr>
                  <w:r>
                    <w:rPr>
                      <w:color w:val="auto"/>
                      <w:sz w:val="21"/>
                      <w:szCs w:val="21"/>
                    </w:rPr>
                    <w:t>《建筑施工场界环境噪声排放标准》（GB12523-2011）标准限值</w:t>
                  </w:r>
                </w:p>
              </w:tc>
              <w:tc>
                <w:tcPr>
                  <w:tcW w:w="2078" w:type="dxa"/>
                  <w:noWrap w:val="0"/>
                  <w:vAlign w:val="center"/>
                </w:tcPr>
                <w:p>
                  <w:pPr>
                    <w:adjustRightInd w:val="0"/>
                    <w:snapToGrid w:val="0"/>
                    <w:jc w:val="center"/>
                    <w:rPr>
                      <w:color w:val="auto"/>
                      <w:sz w:val="21"/>
                      <w:szCs w:val="21"/>
                    </w:rPr>
                  </w:pPr>
                  <w:r>
                    <w:rPr>
                      <w:bCs/>
                      <w:color w:val="auto"/>
                      <w:sz w:val="21"/>
                      <w:szCs w:val="21"/>
                    </w:rPr>
                    <w:t>70</w:t>
                  </w:r>
                </w:p>
              </w:tc>
              <w:tc>
                <w:tcPr>
                  <w:tcW w:w="2015" w:type="dxa"/>
                  <w:noWrap w:val="0"/>
                  <w:vAlign w:val="center"/>
                </w:tcPr>
                <w:p>
                  <w:pPr>
                    <w:adjustRightInd w:val="0"/>
                    <w:snapToGrid w:val="0"/>
                    <w:jc w:val="center"/>
                    <w:rPr>
                      <w:bCs/>
                      <w:color w:val="auto"/>
                      <w:sz w:val="21"/>
                      <w:szCs w:val="21"/>
                    </w:rPr>
                  </w:pPr>
                  <w:r>
                    <w:rPr>
                      <w:bCs/>
                      <w:color w:val="auto"/>
                      <w:sz w:val="21"/>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35" w:type="dxa"/>
                  <w:noWrap w:val="0"/>
                  <w:vAlign w:val="center"/>
                </w:tcPr>
                <w:p>
                  <w:pPr>
                    <w:adjustRightInd w:val="0"/>
                    <w:snapToGrid w:val="0"/>
                    <w:jc w:val="center"/>
                    <w:rPr>
                      <w:color w:val="auto"/>
                      <w:sz w:val="21"/>
                      <w:szCs w:val="21"/>
                    </w:rPr>
                  </w:pPr>
                  <w:r>
                    <w:rPr>
                      <w:color w:val="auto"/>
                      <w:sz w:val="21"/>
                      <w:szCs w:val="21"/>
                    </w:rPr>
                    <w:t>《工业企业厂界环境噪声排放标准》（GB12348-2008）3类</w:t>
                  </w:r>
                  <w:r>
                    <w:rPr>
                      <w:bCs/>
                      <w:color w:val="auto"/>
                      <w:sz w:val="21"/>
                      <w:szCs w:val="21"/>
                    </w:rPr>
                    <w:t>功能</w:t>
                  </w:r>
                  <w:r>
                    <w:rPr>
                      <w:color w:val="auto"/>
                      <w:sz w:val="21"/>
                      <w:szCs w:val="21"/>
                    </w:rPr>
                    <w:t>区标准</w:t>
                  </w:r>
                </w:p>
              </w:tc>
              <w:tc>
                <w:tcPr>
                  <w:tcW w:w="2078" w:type="dxa"/>
                  <w:noWrap w:val="0"/>
                  <w:vAlign w:val="center"/>
                </w:tcPr>
                <w:p>
                  <w:pPr>
                    <w:adjustRightInd w:val="0"/>
                    <w:snapToGrid w:val="0"/>
                    <w:jc w:val="center"/>
                    <w:rPr>
                      <w:bCs/>
                      <w:color w:val="auto"/>
                      <w:sz w:val="21"/>
                      <w:szCs w:val="21"/>
                    </w:rPr>
                  </w:pPr>
                  <w:r>
                    <w:rPr>
                      <w:bCs/>
                      <w:color w:val="auto"/>
                      <w:sz w:val="21"/>
                      <w:szCs w:val="21"/>
                    </w:rPr>
                    <w:t>65</w:t>
                  </w:r>
                </w:p>
              </w:tc>
              <w:tc>
                <w:tcPr>
                  <w:tcW w:w="2015" w:type="dxa"/>
                  <w:noWrap w:val="0"/>
                  <w:vAlign w:val="center"/>
                </w:tcPr>
                <w:p>
                  <w:pPr>
                    <w:adjustRightInd w:val="0"/>
                    <w:snapToGrid w:val="0"/>
                    <w:jc w:val="center"/>
                    <w:rPr>
                      <w:bCs/>
                      <w:color w:val="auto"/>
                      <w:sz w:val="21"/>
                      <w:szCs w:val="21"/>
                    </w:rPr>
                  </w:pPr>
                  <w:r>
                    <w:rPr>
                      <w:bCs/>
                      <w:color w:val="auto"/>
                      <w:sz w:val="21"/>
                      <w:szCs w:val="21"/>
                    </w:rPr>
                    <w:t>55</w:t>
                  </w:r>
                </w:p>
              </w:tc>
            </w:tr>
          </w:tbl>
          <w:p>
            <w:pPr>
              <w:pStyle w:val="71"/>
              <w:spacing w:before="0" w:beforeLines="0" w:line="360" w:lineRule="auto"/>
              <w:ind w:firstLine="482" w:firstLineChars="200"/>
              <w:rPr>
                <w:snapToGrid w:val="0"/>
                <w:color w:val="auto"/>
                <w:sz w:val="24"/>
                <w:szCs w:val="24"/>
              </w:rPr>
            </w:pPr>
            <w:r>
              <w:rPr>
                <w:snapToGrid w:val="0"/>
                <w:color w:val="auto"/>
                <w:sz w:val="24"/>
                <w:szCs w:val="24"/>
              </w:rPr>
              <w:t>4、固体废物</w:t>
            </w:r>
          </w:p>
          <w:p>
            <w:pPr>
              <w:adjustRightInd w:val="0"/>
              <w:snapToGrid w:val="0"/>
              <w:spacing w:line="360" w:lineRule="auto"/>
              <w:ind w:firstLine="480" w:firstLineChars="200"/>
              <w:rPr>
                <w:color w:val="auto"/>
                <w:kern w:val="0"/>
                <w:szCs w:val="21"/>
              </w:rPr>
            </w:pPr>
            <w:r>
              <w:rPr>
                <w:snapToGrid w:val="0"/>
                <w:color w:val="auto"/>
                <w:sz w:val="24"/>
                <w:szCs w:val="24"/>
              </w:rPr>
              <w:t>营运期一般固废执行</w:t>
            </w:r>
            <w:r>
              <w:rPr>
                <w:rFonts w:hint="eastAsia"/>
                <w:snapToGrid w:val="0"/>
                <w:color w:val="auto"/>
                <w:sz w:val="24"/>
                <w:szCs w:val="24"/>
                <w:lang w:eastAsia="zh-CN"/>
              </w:rPr>
              <w:t>《</w:t>
            </w:r>
            <w:r>
              <w:rPr>
                <w:rFonts w:hint="eastAsia"/>
                <w:snapToGrid w:val="0"/>
                <w:color w:val="auto"/>
                <w:sz w:val="24"/>
                <w:szCs w:val="24"/>
              </w:rPr>
              <w:t>一般工业固体废物贮存和填埋污染控制标准</w:t>
            </w:r>
            <w:r>
              <w:rPr>
                <w:rFonts w:hint="eastAsia"/>
                <w:snapToGrid w:val="0"/>
                <w:color w:val="auto"/>
                <w:sz w:val="24"/>
                <w:szCs w:val="24"/>
                <w:lang w:eastAsia="zh-CN"/>
              </w:rPr>
              <w:t>》</w:t>
            </w:r>
            <w:r>
              <w:rPr>
                <w:rFonts w:hint="eastAsia"/>
                <w:snapToGrid w:val="0"/>
                <w:color w:val="auto"/>
                <w:sz w:val="24"/>
                <w:szCs w:val="24"/>
              </w:rPr>
              <w:t xml:space="preserve"> </w:t>
            </w:r>
            <w:r>
              <w:rPr>
                <w:rFonts w:hint="eastAsia"/>
                <w:snapToGrid w:val="0"/>
                <w:color w:val="auto"/>
                <w:sz w:val="24"/>
                <w:szCs w:val="24"/>
                <w:lang w:eastAsia="zh-CN"/>
              </w:rPr>
              <w:t>（</w:t>
            </w:r>
            <w:r>
              <w:rPr>
                <w:rFonts w:hint="eastAsia"/>
                <w:snapToGrid w:val="0"/>
                <w:color w:val="auto"/>
                <w:sz w:val="24"/>
                <w:szCs w:val="24"/>
              </w:rPr>
              <w:t>GB 18599-2020</w:t>
            </w:r>
            <w:r>
              <w:rPr>
                <w:rFonts w:hint="eastAsia"/>
                <w:snapToGrid w:val="0"/>
                <w:color w:val="auto"/>
                <w:sz w:val="24"/>
                <w:szCs w:val="24"/>
                <w:lang w:eastAsia="zh-CN"/>
              </w:rPr>
              <w:t>）</w:t>
            </w:r>
            <w:r>
              <w:rPr>
                <w:snapToGrid w:val="0"/>
                <w:color w:val="auto"/>
                <w:sz w:val="24"/>
                <w:szCs w:val="24"/>
              </w:rPr>
              <w:t>；危险废物执行《危险废物贮存污染控制标准》（GB18597-2001）及2013年修改单。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2" w:hRule="atLeast"/>
        </w:trPr>
        <w:tc>
          <w:tcPr>
            <w:tcW w:w="462" w:type="dxa"/>
            <w:noWrap w:val="0"/>
            <w:vAlign w:val="center"/>
          </w:tcPr>
          <w:p>
            <w:pPr>
              <w:pStyle w:val="48"/>
              <w:ind w:firstLine="0"/>
              <w:rPr>
                <w:color w:val="auto"/>
              </w:rPr>
            </w:pPr>
          </w:p>
          <w:p>
            <w:pPr>
              <w:adjustRightInd w:val="0"/>
              <w:snapToGrid w:val="0"/>
              <w:jc w:val="center"/>
              <w:rPr>
                <w:color w:val="auto"/>
                <w:kern w:val="0"/>
                <w:sz w:val="24"/>
              </w:rPr>
            </w:pPr>
            <w:r>
              <w:rPr>
                <w:color w:val="auto"/>
                <w:kern w:val="0"/>
                <w:sz w:val="24"/>
              </w:rPr>
              <w:t>控制</w:t>
            </w:r>
          </w:p>
          <w:p>
            <w:pPr>
              <w:adjustRightInd w:val="0"/>
              <w:snapToGrid w:val="0"/>
              <w:jc w:val="center"/>
              <w:rPr>
                <w:color w:val="auto"/>
                <w:kern w:val="0"/>
                <w:szCs w:val="21"/>
              </w:rPr>
            </w:pPr>
            <w:r>
              <w:rPr>
                <w:color w:val="auto"/>
                <w:kern w:val="0"/>
                <w:sz w:val="24"/>
              </w:rPr>
              <w:t>指标</w:t>
            </w:r>
          </w:p>
        </w:tc>
        <w:tc>
          <w:tcPr>
            <w:tcW w:w="8599" w:type="dxa"/>
            <w:noWrap w:val="0"/>
            <w:vAlign w:val="top"/>
          </w:tcPr>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4" w:firstLineChars="200"/>
              <w:textAlignment w:val="auto"/>
              <w:rPr>
                <w:rFonts w:ascii="Times New Roman" w:hAnsi="Times New Roman" w:eastAsia="宋体"/>
                <w:b/>
                <w:color w:val="auto"/>
                <w:sz w:val="24"/>
                <w:szCs w:val="24"/>
              </w:rPr>
            </w:pPr>
            <w:r>
              <w:rPr>
                <w:rFonts w:ascii="Times New Roman" w:hAnsi="Times New Roman" w:eastAsia="宋体"/>
                <w:b/>
                <w:color w:val="auto"/>
                <w:sz w:val="24"/>
                <w:szCs w:val="24"/>
              </w:rPr>
              <w:t>1、水污染物总量控制指标</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textAlignment w:val="auto"/>
              <w:rPr>
                <w:rFonts w:ascii="Times New Roman" w:hAnsi="Times New Roman" w:eastAsia="宋体"/>
                <w:bCs/>
                <w:color w:val="auto"/>
                <w:sz w:val="24"/>
                <w:szCs w:val="24"/>
              </w:rPr>
            </w:pPr>
            <w:r>
              <w:rPr>
                <w:rFonts w:ascii="Times New Roman" w:hAnsi="Times New Roman" w:eastAsia="宋体"/>
                <w:bCs/>
                <w:color w:val="auto"/>
                <w:sz w:val="24"/>
                <w:szCs w:val="24"/>
              </w:rPr>
              <w:t>本项目</w:t>
            </w:r>
            <w:r>
              <w:rPr>
                <w:rFonts w:hint="eastAsia" w:ascii="Times New Roman" w:hAnsi="Times New Roman" w:eastAsia="宋体"/>
                <w:bCs/>
                <w:color w:val="auto"/>
                <w:sz w:val="24"/>
                <w:szCs w:val="24"/>
                <w:lang w:val="en-US" w:eastAsia="zh-CN"/>
              </w:rPr>
              <w:t>不</w:t>
            </w:r>
            <w:r>
              <w:rPr>
                <w:rFonts w:ascii="Times New Roman" w:hAnsi="Times New Roman" w:eastAsia="宋体"/>
                <w:bCs/>
                <w:color w:val="auto"/>
                <w:sz w:val="24"/>
                <w:szCs w:val="24"/>
              </w:rPr>
              <w:t>新增劳动定员</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rPr>
              <w:t>因此，本</w:t>
            </w:r>
            <w:r>
              <w:rPr>
                <w:rFonts w:ascii="Times New Roman" w:hAnsi="Times New Roman" w:eastAsia="宋体"/>
                <w:bCs/>
                <w:color w:val="auto"/>
                <w:sz w:val="24"/>
                <w:szCs w:val="24"/>
              </w:rPr>
              <w:t>项目</w:t>
            </w:r>
            <w:r>
              <w:rPr>
                <w:rFonts w:hint="eastAsia" w:ascii="Times New Roman" w:hAnsi="Times New Roman" w:eastAsia="宋体"/>
                <w:bCs/>
                <w:color w:val="auto"/>
                <w:sz w:val="24"/>
                <w:szCs w:val="24"/>
              </w:rPr>
              <w:t>技改完成后</w:t>
            </w:r>
            <w:r>
              <w:rPr>
                <w:rFonts w:ascii="Times New Roman" w:hAnsi="Times New Roman" w:eastAsia="宋体"/>
                <w:bCs/>
                <w:color w:val="auto"/>
                <w:sz w:val="24"/>
                <w:szCs w:val="24"/>
              </w:rPr>
              <w:t>无新增废水外排，无需设置</w:t>
            </w:r>
            <w:r>
              <w:rPr>
                <w:rFonts w:hint="eastAsia" w:ascii="Times New Roman" w:hAnsi="Times New Roman" w:eastAsia="宋体"/>
                <w:bCs/>
                <w:color w:val="auto"/>
                <w:sz w:val="24"/>
                <w:szCs w:val="24"/>
              </w:rPr>
              <w:t>水污染物</w:t>
            </w:r>
            <w:r>
              <w:rPr>
                <w:rFonts w:ascii="Times New Roman" w:hAnsi="Times New Roman" w:eastAsia="宋体"/>
                <w:bCs/>
                <w:color w:val="auto"/>
                <w:sz w:val="24"/>
                <w:szCs w:val="24"/>
              </w:rPr>
              <w:t>总量控制指标。</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4" w:firstLineChars="200"/>
              <w:textAlignment w:val="auto"/>
              <w:rPr>
                <w:rFonts w:ascii="Times New Roman" w:hAnsi="Times New Roman" w:eastAsia="宋体"/>
                <w:b/>
                <w:color w:val="auto"/>
                <w:sz w:val="24"/>
                <w:szCs w:val="24"/>
              </w:rPr>
            </w:pPr>
            <w:r>
              <w:rPr>
                <w:rFonts w:ascii="Times New Roman" w:hAnsi="Times New Roman" w:eastAsia="宋体"/>
                <w:b/>
                <w:color w:val="auto"/>
                <w:sz w:val="24"/>
                <w:szCs w:val="24"/>
              </w:rPr>
              <w:t>2、大气污染物总量控制指标</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textAlignment w:val="auto"/>
              <w:rPr>
                <w:rFonts w:ascii="Times New Roman" w:hAnsi="Times New Roman" w:eastAsia="宋体"/>
                <w:bCs/>
                <w:color w:val="auto"/>
                <w:sz w:val="24"/>
                <w:szCs w:val="24"/>
              </w:rPr>
            </w:pPr>
            <w:r>
              <w:rPr>
                <w:rFonts w:ascii="Times New Roman" w:hAnsi="Times New Roman" w:eastAsia="宋体"/>
                <w:bCs/>
                <w:color w:val="auto"/>
                <w:sz w:val="24"/>
                <w:szCs w:val="24"/>
              </w:rPr>
              <w:t>（1）</w:t>
            </w:r>
            <w:r>
              <w:rPr>
                <w:rFonts w:hint="eastAsia" w:ascii="Times New Roman" w:hAnsi="Times New Roman" w:eastAsia="宋体"/>
                <w:bCs/>
                <w:color w:val="auto"/>
                <w:sz w:val="24"/>
                <w:szCs w:val="24"/>
                <w:lang w:eastAsia="zh-CN"/>
              </w:rPr>
              <w:t>原项目</w:t>
            </w:r>
            <w:r>
              <w:rPr>
                <w:rFonts w:ascii="Times New Roman" w:hAnsi="Times New Roman" w:eastAsia="宋体"/>
                <w:bCs/>
                <w:color w:val="auto"/>
                <w:sz w:val="24"/>
                <w:szCs w:val="24"/>
              </w:rPr>
              <w:t>非甲烷总烃、颗粒物排放量</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textAlignment w:val="auto"/>
              <w:rPr>
                <w:rFonts w:ascii="Times New Roman" w:hAnsi="Times New Roman" w:eastAsia="宋体"/>
                <w:bCs/>
                <w:color w:val="auto"/>
                <w:sz w:val="24"/>
                <w:szCs w:val="24"/>
              </w:rPr>
            </w:pPr>
            <w:r>
              <w:rPr>
                <w:rFonts w:ascii="Times New Roman" w:hAnsi="Times New Roman" w:eastAsia="宋体"/>
                <w:bCs/>
                <w:color w:val="auto"/>
                <w:sz w:val="24"/>
                <w:szCs w:val="24"/>
              </w:rPr>
              <w:t>根据《</w:t>
            </w:r>
            <w:r>
              <w:rPr>
                <w:rFonts w:hint="eastAsia" w:ascii="Times New Roman" w:hAnsi="Times New Roman" w:eastAsia="宋体"/>
                <w:bCs/>
                <w:color w:val="auto"/>
                <w:sz w:val="24"/>
                <w:szCs w:val="24"/>
              </w:rPr>
              <w:t>乐山图南再生资源回收利用有限公司废旧塑料加工生产线技改项目</w:t>
            </w:r>
            <w:r>
              <w:rPr>
                <w:rFonts w:hint="eastAsia" w:ascii="Times New Roman" w:hAnsi="Times New Roman" w:eastAsia="宋体"/>
                <w:bCs/>
                <w:color w:val="auto"/>
                <w:sz w:val="24"/>
                <w:szCs w:val="24"/>
                <w:lang w:eastAsia="zh-CN"/>
              </w:rPr>
              <w:t>环境影响报告表</w:t>
            </w:r>
            <w:r>
              <w:rPr>
                <w:rFonts w:ascii="Times New Roman" w:hAnsi="Times New Roman" w:eastAsia="宋体"/>
                <w:bCs/>
                <w:color w:val="auto"/>
                <w:sz w:val="24"/>
                <w:szCs w:val="24"/>
              </w:rPr>
              <w:t>》及其批复（犍环审发[20</w:t>
            </w:r>
            <w:r>
              <w:rPr>
                <w:rFonts w:hint="eastAsia" w:ascii="Times New Roman" w:hAnsi="Times New Roman" w:eastAsia="宋体"/>
                <w:bCs/>
                <w:color w:val="auto"/>
                <w:sz w:val="24"/>
                <w:szCs w:val="24"/>
                <w:lang w:val="en-US" w:eastAsia="zh-CN"/>
              </w:rPr>
              <w:t>21</w:t>
            </w:r>
            <w:r>
              <w:rPr>
                <w:rFonts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05</w:t>
            </w:r>
            <w:r>
              <w:rPr>
                <w:rFonts w:ascii="Times New Roman" w:hAnsi="Times New Roman" w:eastAsia="宋体"/>
                <w:bCs/>
                <w:color w:val="auto"/>
                <w:sz w:val="24"/>
                <w:szCs w:val="24"/>
              </w:rPr>
              <w:t>号），</w:t>
            </w:r>
            <w:r>
              <w:rPr>
                <w:rFonts w:hint="eastAsia" w:ascii="Times New Roman" w:hAnsi="Times New Roman" w:eastAsia="宋体"/>
                <w:bCs/>
                <w:color w:val="auto"/>
                <w:sz w:val="24"/>
                <w:szCs w:val="24"/>
                <w:lang w:eastAsia="zh-CN"/>
              </w:rPr>
              <w:t>原项目</w:t>
            </w:r>
            <w:r>
              <w:rPr>
                <w:rFonts w:ascii="Times New Roman" w:hAnsi="Times New Roman" w:eastAsia="宋体"/>
                <w:bCs/>
                <w:color w:val="auto"/>
                <w:sz w:val="24"/>
                <w:szCs w:val="24"/>
              </w:rPr>
              <w:t>污染物总量控制指标：</w:t>
            </w:r>
            <w:r>
              <w:rPr>
                <w:rFonts w:hint="eastAsia" w:ascii="Times New Roman" w:hAnsi="Times New Roman"/>
                <w:color w:val="auto"/>
                <w:sz w:val="24"/>
                <w:szCs w:val="24"/>
                <w:lang w:val="en-US" w:eastAsia="zh-CN"/>
              </w:rPr>
              <w:t>VOCs</w:t>
            </w:r>
            <w:r>
              <w:rPr>
                <w:rFonts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1.781</w:t>
            </w:r>
            <w:r>
              <w:rPr>
                <w:rFonts w:ascii="Times New Roman" w:hAnsi="Times New Roman" w:eastAsia="宋体"/>
                <w:bCs/>
                <w:color w:val="auto"/>
                <w:sz w:val="24"/>
                <w:szCs w:val="24"/>
              </w:rPr>
              <w:t>t/a；颗粒物：</w:t>
            </w:r>
            <w:r>
              <w:rPr>
                <w:rFonts w:hint="eastAsia" w:ascii="Times New Roman" w:hAnsi="Times New Roman" w:eastAsia="宋体"/>
                <w:bCs/>
                <w:color w:val="auto"/>
                <w:sz w:val="24"/>
                <w:szCs w:val="24"/>
                <w:lang w:val="en-US" w:eastAsia="zh-CN"/>
              </w:rPr>
              <w:t>0.796</w:t>
            </w:r>
            <w:r>
              <w:rPr>
                <w:rFonts w:ascii="Times New Roman" w:hAnsi="Times New Roman" w:eastAsia="宋体"/>
                <w:bCs/>
                <w:color w:val="auto"/>
                <w:sz w:val="24"/>
                <w:szCs w:val="24"/>
              </w:rPr>
              <w:t>t/a。</w:t>
            </w:r>
          </w:p>
          <w:p>
            <w:pPr>
              <w:pStyle w:val="2"/>
              <w:keepNext w:val="0"/>
              <w:keepLines w:val="0"/>
              <w:pageBreakBefore w:val="0"/>
              <w:widowControl w:val="0"/>
              <w:kinsoku/>
              <w:wordWrap/>
              <w:overflowPunct/>
              <w:topLinePunct w:val="0"/>
              <w:autoSpaceDE/>
              <w:autoSpaceDN/>
              <w:bidi w:val="0"/>
              <w:adjustRightInd/>
              <w:spacing w:before="0" w:after="0" w:afterAutospacing="0" w:line="360" w:lineRule="auto"/>
              <w:ind w:left="0" w:right="0" w:firstLine="472" w:firstLineChars="200"/>
              <w:textAlignment w:val="auto"/>
              <w:rPr>
                <w:rFonts w:ascii="Times New Roman" w:hAnsi="Times New Roman" w:eastAsia="宋体" w:cs="宋体"/>
                <w:bCs/>
                <w:color w:val="auto"/>
                <w:sz w:val="24"/>
                <w:szCs w:val="24"/>
              </w:rPr>
            </w:pPr>
            <w:r>
              <w:rPr>
                <w:rFonts w:ascii="Times New Roman" w:hAnsi="Times New Roman" w:eastAsia="宋体" w:cs="宋体"/>
                <w:bCs/>
                <w:color w:val="auto"/>
                <w:sz w:val="24"/>
                <w:szCs w:val="24"/>
              </w:rPr>
              <w:t>（2）</w:t>
            </w:r>
            <w:r>
              <w:rPr>
                <w:rFonts w:hint="eastAsia" w:ascii="Times New Roman" w:hAnsi="Times New Roman" w:eastAsia="宋体" w:cs="宋体"/>
                <w:bCs/>
                <w:color w:val="auto"/>
                <w:sz w:val="24"/>
                <w:szCs w:val="24"/>
                <w:lang w:val="en-US" w:eastAsia="zh-CN"/>
              </w:rPr>
              <w:t>本项目技改后全厂</w:t>
            </w:r>
            <w:r>
              <w:rPr>
                <w:rFonts w:ascii="Times New Roman" w:hAnsi="Times New Roman" w:eastAsia="宋体"/>
                <w:bCs/>
                <w:color w:val="auto"/>
                <w:sz w:val="24"/>
                <w:szCs w:val="24"/>
              </w:rPr>
              <w:t>非甲烷总烃、颗粒物排放量</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default" w:ascii="Times New Roman" w:hAnsi="Times New Roman" w:eastAsia="宋体"/>
                <w:color w:val="auto"/>
                <w:sz w:val="24"/>
                <w:szCs w:val="32"/>
                <w:lang w:val="en-US" w:eastAsia="zh-CN"/>
              </w:rPr>
            </w:pPr>
            <w:r>
              <w:rPr>
                <w:rFonts w:hint="eastAsia" w:ascii="Times New Roman" w:hAnsi="Times New Roman"/>
                <w:color w:val="auto"/>
                <w:sz w:val="24"/>
                <w:szCs w:val="32"/>
                <w:lang w:val="en-US" w:eastAsia="zh-CN"/>
              </w:rPr>
              <w:t>本项目不新增废气污染物。</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宋体"/>
                <w:color w:val="auto"/>
                <w:sz w:val="24"/>
                <w:szCs w:val="32"/>
              </w:rPr>
            </w:pPr>
            <w:r>
              <w:rPr>
                <w:rFonts w:hint="eastAsia"/>
                <w:color w:val="auto"/>
                <w:sz w:val="24"/>
                <w:szCs w:val="32"/>
                <w:lang w:val="en-US" w:eastAsia="zh-CN"/>
              </w:rPr>
              <w:t>综上，</w:t>
            </w:r>
            <w:r>
              <w:rPr>
                <w:rFonts w:ascii="Times New Roman" w:hAnsi="Times New Roman"/>
                <w:color w:val="auto"/>
                <w:sz w:val="24"/>
                <w:szCs w:val="32"/>
              </w:rPr>
              <w:t>根据本项目营运期工程分析核算出的污染物排放量可得到本项目所需总量控制指标，见下表。</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firstLineChars="0"/>
              <w:jc w:val="center"/>
              <w:textAlignment w:val="auto"/>
              <w:rPr>
                <w:rFonts w:hint="eastAsia" w:ascii="Times New Roman" w:hAnsi="Times New Roman" w:eastAsia="宋体"/>
                <w:b/>
                <w:bCs/>
                <w:color w:val="auto"/>
                <w:sz w:val="21"/>
                <w:szCs w:val="21"/>
                <w:lang w:eastAsia="zh-CN"/>
              </w:rPr>
            </w:pPr>
            <w:r>
              <w:rPr>
                <w:rFonts w:ascii="Times New Roman" w:hAnsi="Times New Roman" w:eastAsia="宋体"/>
                <w:b/>
                <w:bCs/>
                <w:color w:val="auto"/>
                <w:sz w:val="21"/>
                <w:szCs w:val="21"/>
              </w:rPr>
              <w:t>表</w:t>
            </w:r>
            <w:r>
              <w:rPr>
                <w:rFonts w:hint="eastAsia" w:ascii="Times New Roman" w:hAnsi="Times New Roman" w:eastAsia="宋体"/>
                <w:b/>
                <w:bCs/>
                <w:color w:val="auto"/>
                <w:sz w:val="21"/>
                <w:szCs w:val="21"/>
                <w:lang w:val="en-US" w:eastAsia="zh-CN"/>
              </w:rPr>
              <w:t>3</w:t>
            </w:r>
            <w:r>
              <w:rPr>
                <w:rFonts w:ascii="Times New Roman" w:hAnsi="Times New Roman" w:eastAsia="宋体"/>
                <w:b/>
                <w:bCs/>
                <w:color w:val="auto"/>
                <w:sz w:val="21"/>
                <w:szCs w:val="21"/>
              </w:rPr>
              <w:t>-</w:t>
            </w:r>
            <w:r>
              <w:rPr>
                <w:rFonts w:hint="eastAsia" w:ascii="Times New Roman" w:hAnsi="Times New Roman" w:eastAsia="宋体"/>
                <w:b/>
                <w:bCs/>
                <w:color w:val="auto"/>
                <w:sz w:val="21"/>
                <w:szCs w:val="21"/>
                <w:lang w:val="en-US" w:eastAsia="zh-CN"/>
              </w:rPr>
              <w:t>22</w:t>
            </w:r>
            <w:r>
              <w:rPr>
                <w:rFonts w:ascii="Times New Roman" w:hAnsi="Times New Roman" w:eastAsia="宋体"/>
                <w:b/>
                <w:bCs/>
                <w:color w:val="auto"/>
                <w:sz w:val="21"/>
                <w:szCs w:val="21"/>
              </w:rPr>
              <w:t xml:space="preserve">  </w:t>
            </w:r>
            <w:r>
              <w:rPr>
                <w:rFonts w:hint="eastAsia" w:ascii="Times New Roman" w:hAnsi="Times New Roman" w:eastAsia="宋体"/>
                <w:b/>
                <w:bCs/>
                <w:color w:val="auto"/>
                <w:sz w:val="21"/>
                <w:szCs w:val="21"/>
              </w:rPr>
              <w:t>项目污染排放量</w:t>
            </w:r>
            <w:r>
              <w:rPr>
                <w:rFonts w:hint="eastAsia" w:ascii="Times New Roman" w:hAnsi="Times New Roman" w:eastAsia="宋体"/>
                <w:b/>
                <w:bCs/>
                <w:color w:val="auto"/>
                <w:sz w:val="21"/>
                <w:szCs w:val="21"/>
                <w:lang w:eastAsia="zh-CN"/>
              </w:rPr>
              <w:t>统计</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678"/>
              <w:gridCol w:w="1679"/>
              <w:gridCol w:w="1679"/>
              <w:gridCol w:w="1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shd w:val="clear" w:color="auto" w:fill="DCE6F2" w:themeFill="accent1" w:themeFillTint="3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污染物种类</w:t>
                  </w:r>
                </w:p>
              </w:tc>
              <w:tc>
                <w:tcPr>
                  <w:tcW w:w="1678" w:type="dxa"/>
                  <w:shd w:val="clear" w:color="auto" w:fill="DCE6F2" w:themeFill="accent1" w:themeFillTint="3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现有污染物排放量（t/a）</w:t>
                  </w:r>
                </w:p>
              </w:tc>
              <w:tc>
                <w:tcPr>
                  <w:tcW w:w="1679" w:type="dxa"/>
                  <w:shd w:val="clear" w:color="auto" w:fill="DCE6F2" w:themeFill="accent1" w:themeFillTint="3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技改后污染物排放量（t/a）</w:t>
                  </w:r>
                </w:p>
              </w:tc>
              <w:tc>
                <w:tcPr>
                  <w:tcW w:w="1679" w:type="dxa"/>
                  <w:shd w:val="clear" w:color="auto" w:fill="DCE6F2" w:themeFill="accent1" w:themeFillTint="3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技改后污染物</w:t>
                  </w:r>
                  <w:r>
                    <w:rPr>
                      <w:rFonts w:hint="eastAsia" w:ascii="Times New Roman" w:hAnsi="Times New Roman" w:eastAsia="宋体"/>
                      <w:b/>
                      <w:bCs w:val="0"/>
                      <w:color w:val="auto"/>
                      <w:sz w:val="21"/>
                      <w:szCs w:val="21"/>
                    </w:rPr>
                    <w:t>变化</w:t>
                  </w:r>
                  <w:r>
                    <w:rPr>
                      <w:rFonts w:ascii="Times New Roman" w:hAnsi="Times New Roman" w:eastAsia="宋体"/>
                      <w:b/>
                      <w:bCs w:val="0"/>
                      <w:color w:val="auto"/>
                      <w:sz w:val="21"/>
                      <w:szCs w:val="21"/>
                    </w:rPr>
                    <w:t>量（t/a）</w:t>
                  </w:r>
                </w:p>
              </w:tc>
              <w:tc>
                <w:tcPr>
                  <w:tcW w:w="1683" w:type="dxa"/>
                  <w:shd w:val="clear" w:color="auto" w:fill="DCE6F2" w:themeFill="accent1" w:themeFillTint="32"/>
                  <w:noWrap w:val="0"/>
                  <w:vAlign w:val="center"/>
                </w:tcPr>
                <w:p>
                  <w:pPr>
                    <w:pStyle w:val="2"/>
                    <w:adjustRightInd/>
                    <w:spacing w:before="0" w:line="240" w:lineRule="auto"/>
                    <w:ind w:left="0" w:right="0" w:firstLine="0"/>
                    <w:jc w:val="center"/>
                    <w:textAlignment w:val="auto"/>
                    <w:rPr>
                      <w:rFonts w:hint="eastAsia" w:ascii="Times New Roman" w:hAnsi="Times New Roman" w:eastAsia="宋体"/>
                      <w:b/>
                      <w:bCs w:val="0"/>
                      <w:color w:val="auto"/>
                      <w:sz w:val="21"/>
                      <w:szCs w:val="21"/>
                      <w:lang w:eastAsia="zh-CN"/>
                    </w:rPr>
                  </w:pPr>
                  <w:r>
                    <w:rPr>
                      <w:rFonts w:hint="eastAsia" w:ascii="Times New Roman" w:hAnsi="Times New Roman" w:eastAsia="宋体"/>
                      <w:b/>
                      <w:bCs w:val="0"/>
                      <w:color w:val="auto"/>
                      <w:sz w:val="21"/>
                      <w:szCs w:val="21"/>
                      <w:lang w:eastAsia="zh-CN"/>
                    </w:rPr>
                    <w:t>环评及批复</w:t>
                  </w:r>
                  <w:r>
                    <w:rPr>
                      <w:rFonts w:ascii="Times New Roman" w:hAnsi="Times New Roman" w:eastAsia="宋体"/>
                      <w:b/>
                      <w:bCs w:val="0"/>
                      <w:color w:val="auto"/>
                      <w:sz w:val="21"/>
                      <w:szCs w:val="21"/>
                    </w:rPr>
                    <w:t>总量指标</w:t>
                  </w:r>
                  <w:r>
                    <w:rPr>
                      <w:rFonts w:hint="eastAsia" w:ascii="Times New Roman" w:hAnsi="Times New Roman" w:eastAsia="宋体"/>
                      <w:b/>
                      <w:bCs w:val="0"/>
                      <w:color w:val="auto"/>
                      <w:sz w:val="21"/>
                      <w:szCs w:val="21"/>
                      <w:lang w:eastAsia="zh-CN"/>
                    </w:rPr>
                    <w:t>（</w:t>
                  </w:r>
                  <w:r>
                    <w:rPr>
                      <w:rFonts w:hint="eastAsia" w:ascii="Times New Roman" w:hAnsi="Times New Roman" w:eastAsia="宋体"/>
                      <w:b/>
                      <w:bCs w:val="0"/>
                      <w:color w:val="auto"/>
                      <w:sz w:val="21"/>
                      <w:szCs w:val="21"/>
                    </w:rPr>
                    <w:t>t/a</w:t>
                  </w:r>
                  <w:r>
                    <w:rPr>
                      <w:rFonts w:hint="eastAsia" w:ascii="Times New Roman" w:hAnsi="Times New Roman" w:eastAsia="宋体"/>
                      <w:b/>
                      <w:bCs w:val="0"/>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noWrap w:val="0"/>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bCs/>
                      <w:color w:val="auto"/>
                      <w:sz w:val="21"/>
                      <w:szCs w:val="21"/>
                    </w:rPr>
                  </w:pPr>
                  <w:r>
                    <w:rPr>
                      <w:color w:val="auto"/>
                      <w:kern w:val="0"/>
                      <w:sz w:val="21"/>
                      <w:szCs w:val="21"/>
                    </w:rPr>
                    <w:t>CODcr</w:t>
                  </w:r>
                </w:p>
              </w:tc>
              <w:tc>
                <w:tcPr>
                  <w:tcW w:w="1678" w:type="dxa"/>
                  <w:noWrap w:val="0"/>
                  <w:vAlign w:val="center"/>
                </w:tcPr>
                <w:p>
                  <w:pPr>
                    <w:keepNext w:val="0"/>
                    <w:keepLines w:val="0"/>
                    <w:widowControl/>
                    <w:suppressLineNumbers w:val="0"/>
                    <w:jc w:val="center"/>
                    <w:textAlignment w:val="center"/>
                    <w:rPr>
                      <w:rFonts w:hint="default" w:ascii="Times New Roman" w:hAnsi="Times New Roman" w:eastAsia="宋体"/>
                      <w:bCs/>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167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1679" w:type="dxa"/>
                  <w:noWrap w:val="0"/>
                  <w:vAlign w:val="center"/>
                </w:tcPr>
                <w:p>
                  <w:pPr>
                    <w:keepNext w:val="0"/>
                    <w:keepLines w:val="0"/>
                    <w:widowControl/>
                    <w:suppressLineNumbers w:val="0"/>
                    <w:jc w:val="center"/>
                    <w:textAlignment w:val="center"/>
                    <w:rPr>
                      <w:rFonts w:hint="default" w:ascii="Times New Roman" w:hAnsi="Times New Roman" w:eastAsia="宋体"/>
                      <w:bCs/>
                      <w:color w:val="auto"/>
                      <w:sz w:val="21"/>
                      <w:szCs w:val="21"/>
                      <w:lang w:val="en-US" w:eastAsia="zh-CN"/>
                    </w:rPr>
                  </w:pPr>
                  <w:r>
                    <w:rPr>
                      <w:rFonts w:hint="eastAsia" w:cs="Times New Roman"/>
                      <w:i w:val="0"/>
                      <w:iCs w:val="0"/>
                      <w:color w:val="auto"/>
                      <w:kern w:val="0"/>
                      <w:sz w:val="21"/>
                      <w:szCs w:val="21"/>
                      <w:u w:val="none"/>
                      <w:lang w:val="en-US" w:eastAsia="zh-CN" w:bidi="ar"/>
                    </w:rPr>
                    <w:t>0</w:t>
                  </w:r>
                </w:p>
              </w:tc>
              <w:tc>
                <w:tcPr>
                  <w:tcW w:w="1683"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宋体" w:cs="宋体"/>
                      <w:bCs/>
                      <w:color w:val="auto"/>
                      <w:sz w:val="21"/>
                      <w:szCs w:val="21"/>
                      <w:lang w:val="en-US" w:eastAsia="zh-CN"/>
                    </w:rPr>
                  </w:pPr>
                  <w:r>
                    <w:rPr>
                      <w:rFonts w:hint="default" w:ascii="Times New Roman" w:hAnsi="Times New Roman" w:eastAsia="宋体" w:cs="宋体"/>
                      <w:bCs/>
                      <w:color w:val="auto"/>
                      <w:sz w:val="21"/>
                      <w:szCs w:val="21"/>
                      <w:lang w:val="en-US" w:eastAsia="zh-CN"/>
                    </w:rPr>
                    <w:t xml:space="preserve">0.432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noWrap w:val="0"/>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bCs/>
                      <w:color w:val="auto"/>
                      <w:sz w:val="21"/>
                      <w:szCs w:val="21"/>
                    </w:rPr>
                  </w:pPr>
                  <w:r>
                    <w:rPr>
                      <w:color w:val="auto"/>
                      <w:kern w:val="0"/>
                      <w:sz w:val="21"/>
                      <w:szCs w:val="21"/>
                    </w:rPr>
                    <w:t>氨氮</w:t>
                  </w:r>
                </w:p>
              </w:tc>
              <w:tc>
                <w:tcPr>
                  <w:tcW w:w="1678" w:type="dxa"/>
                  <w:noWrap w:val="0"/>
                  <w:vAlign w:val="center"/>
                </w:tcPr>
                <w:p>
                  <w:pPr>
                    <w:keepNext w:val="0"/>
                    <w:keepLines w:val="0"/>
                    <w:widowControl/>
                    <w:suppressLineNumbers w:val="0"/>
                    <w:jc w:val="center"/>
                    <w:textAlignment w:val="center"/>
                    <w:rPr>
                      <w:rFonts w:hint="default" w:ascii="Times New Roman" w:hAnsi="Times New Roman" w:eastAsia="宋体"/>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67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679" w:type="dxa"/>
                  <w:noWrap w:val="0"/>
                  <w:vAlign w:val="center"/>
                </w:tcPr>
                <w:p>
                  <w:pPr>
                    <w:keepNext w:val="0"/>
                    <w:keepLines w:val="0"/>
                    <w:widowControl/>
                    <w:suppressLineNumbers w:val="0"/>
                    <w:jc w:val="center"/>
                    <w:textAlignment w:val="center"/>
                    <w:rPr>
                      <w:rFonts w:hint="default" w:ascii="Times New Roman" w:hAnsi="Times New Roman" w:eastAsia="宋体"/>
                      <w:bCs/>
                      <w:color w:val="auto"/>
                      <w:sz w:val="21"/>
                      <w:szCs w:val="21"/>
                      <w:lang w:val="en-US" w:eastAsia="zh-CN"/>
                    </w:rPr>
                  </w:pPr>
                  <w:r>
                    <w:rPr>
                      <w:rFonts w:hint="eastAsia" w:cs="Times New Roman"/>
                      <w:i w:val="0"/>
                      <w:iCs w:val="0"/>
                      <w:color w:val="auto"/>
                      <w:kern w:val="0"/>
                      <w:sz w:val="21"/>
                      <w:szCs w:val="21"/>
                      <w:u w:val="none"/>
                      <w:lang w:val="en-US" w:eastAsia="zh-CN" w:bidi="ar"/>
                    </w:rPr>
                    <w:t>0</w:t>
                  </w:r>
                </w:p>
              </w:tc>
              <w:tc>
                <w:tcPr>
                  <w:tcW w:w="1683"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宋体" w:cs="宋体"/>
                      <w:bCs/>
                      <w:color w:val="auto"/>
                      <w:sz w:val="21"/>
                      <w:szCs w:val="21"/>
                      <w:lang w:val="en-US" w:eastAsia="zh-CN"/>
                    </w:rPr>
                  </w:pPr>
                  <w:r>
                    <w:rPr>
                      <w:rFonts w:hint="default" w:ascii="Times New Roman" w:hAnsi="Times New Roman" w:eastAsia="宋体" w:cs="宋体"/>
                      <w:bCs/>
                      <w:color w:val="auto"/>
                      <w:sz w:val="21"/>
                      <w:szCs w:val="21"/>
                      <w:lang w:val="en-US" w:eastAsia="zh-CN"/>
                    </w:rPr>
                    <w:t xml:space="preserve">0.043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宋体" w:cs="宋体"/>
                      <w:bCs/>
                      <w:color w:val="auto"/>
                      <w:spacing w:val="-2"/>
                      <w:kern w:val="0"/>
                      <w:sz w:val="21"/>
                      <w:szCs w:val="21"/>
                      <w:lang w:val="en-US" w:eastAsia="zh-CN" w:bidi="ar-SA"/>
                    </w:rPr>
                  </w:pPr>
                  <w:r>
                    <w:rPr>
                      <w:rFonts w:hint="eastAsia" w:ascii="Times New Roman" w:hAnsi="Times New Roman" w:eastAsia="宋体"/>
                      <w:bCs/>
                      <w:color w:val="auto"/>
                      <w:sz w:val="21"/>
                      <w:szCs w:val="21"/>
                    </w:rPr>
                    <w:t>项目</w:t>
                  </w:r>
                  <w:r>
                    <w:rPr>
                      <w:rFonts w:ascii="Times New Roman" w:hAnsi="Times New Roman" w:eastAsia="宋体"/>
                      <w:bCs/>
                      <w:color w:val="auto"/>
                      <w:sz w:val="21"/>
                      <w:szCs w:val="21"/>
                    </w:rPr>
                    <w:t>非甲烷总烃</w:t>
                  </w:r>
                </w:p>
              </w:tc>
              <w:tc>
                <w:tcPr>
                  <w:tcW w:w="1678" w:type="dxa"/>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宋体"/>
                      <w:bCs/>
                      <w:color w:val="auto"/>
                      <w:spacing w:val="-2"/>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1.71</w:t>
                  </w:r>
                </w:p>
              </w:tc>
              <w:tc>
                <w:tcPr>
                  <w:tcW w:w="1679" w:type="dxa"/>
                  <w:noWrap w:val="0"/>
                  <w:vAlign w:val="center"/>
                </w:tcPr>
                <w:p>
                  <w:pPr>
                    <w:pStyle w:val="47"/>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0.621</w:t>
                  </w:r>
                </w:p>
              </w:tc>
              <w:tc>
                <w:tcPr>
                  <w:tcW w:w="1679" w:type="dxa"/>
                  <w:noWrap w:val="0"/>
                  <w:vAlign w:val="center"/>
                </w:tcPr>
                <w:p>
                  <w:pPr>
                    <w:pStyle w:val="47"/>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-1.089</w:t>
                  </w:r>
                </w:p>
              </w:tc>
              <w:tc>
                <w:tcPr>
                  <w:tcW w:w="1683"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宋体" w:cs="宋体"/>
                      <w:bCs/>
                      <w:color w:val="auto"/>
                      <w:spacing w:val="-2"/>
                      <w:kern w:val="0"/>
                      <w:sz w:val="21"/>
                      <w:szCs w:val="21"/>
                      <w:lang w:val="en-US" w:eastAsia="zh-CN" w:bidi="ar-SA"/>
                    </w:rPr>
                  </w:pPr>
                  <w:r>
                    <w:rPr>
                      <w:rFonts w:hint="eastAsia" w:ascii="Times New Roman" w:hAnsi="Times New Roman" w:eastAsia="宋体"/>
                      <w:bCs/>
                      <w:color w:val="auto"/>
                      <w:sz w:val="21"/>
                      <w:szCs w:val="21"/>
                      <w:lang w:val="en-US" w:eastAsia="zh-CN"/>
                    </w:rPr>
                    <w:t>1.781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宋体" w:cs="宋体"/>
                      <w:bCs/>
                      <w:color w:val="auto"/>
                      <w:spacing w:val="-2"/>
                      <w:kern w:val="0"/>
                      <w:sz w:val="21"/>
                      <w:szCs w:val="21"/>
                      <w:lang w:val="en-US" w:eastAsia="zh-CN" w:bidi="ar-SA"/>
                    </w:rPr>
                  </w:pPr>
                  <w:r>
                    <w:rPr>
                      <w:rFonts w:hint="eastAsia" w:ascii="Times New Roman" w:hAnsi="Times New Roman" w:eastAsia="宋体"/>
                      <w:bCs/>
                      <w:color w:val="auto"/>
                      <w:sz w:val="21"/>
                      <w:szCs w:val="21"/>
                    </w:rPr>
                    <w:t>项目颗粒物</w:t>
                  </w:r>
                </w:p>
              </w:tc>
              <w:tc>
                <w:tcPr>
                  <w:tcW w:w="1678" w:type="dxa"/>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宋体"/>
                      <w:bCs/>
                      <w:color w:val="auto"/>
                      <w:spacing w:val="-2"/>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0.327</w:t>
                  </w:r>
                </w:p>
              </w:tc>
              <w:tc>
                <w:tcPr>
                  <w:tcW w:w="1679" w:type="dxa"/>
                  <w:noWrap w:val="0"/>
                  <w:vAlign w:val="center"/>
                </w:tcPr>
                <w:p>
                  <w:pPr>
                    <w:pStyle w:val="47"/>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0.107</w:t>
                  </w:r>
                </w:p>
              </w:tc>
              <w:tc>
                <w:tcPr>
                  <w:tcW w:w="1679" w:type="dxa"/>
                  <w:noWrap w:val="0"/>
                  <w:vAlign w:val="center"/>
                </w:tcPr>
                <w:p>
                  <w:pPr>
                    <w:pStyle w:val="47"/>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1683"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宋体" w:cs="宋体"/>
                      <w:bCs/>
                      <w:color w:val="auto"/>
                      <w:spacing w:val="-2"/>
                      <w:kern w:val="0"/>
                      <w:sz w:val="21"/>
                      <w:szCs w:val="21"/>
                      <w:lang w:val="en-US" w:eastAsia="zh-CN" w:bidi="ar-SA"/>
                    </w:rPr>
                  </w:pPr>
                  <w:r>
                    <w:rPr>
                      <w:rFonts w:hint="eastAsia" w:ascii="Times New Roman" w:hAnsi="Times New Roman" w:eastAsia="宋体"/>
                      <w:bCs/>
                      <w:color w:val="auto"/>
                      <w:sz w:val="21"/>
                      <w:szCs w:val="21"/>
                      <w:lang w:val="en-US" w:eastAsia="zh-CN"/>
                    </w:rPr>
                    <w:t>0.796</w:t>
                  </w:r>
                </w:p>
              </w:tc>
            </w:tr>
          </w:tbl>
          <w:p>
            <w:pPr>
              <w:pStyle w:val="48"/>
              <w:ind w:firstLine="0"/>
              <w:rPr>
                <w:color w:val="auto"/>
                <w:kern w:val="0"/>
                <w:szCs w:val="21"/>
              </w:rPr>
            </w:pPr>
          </w:p>
        </w:tc>
      </w:tr>
    </w:tbl>
    <w:p>
      <w:pPr>
        <w:pStyle w:val="25"/>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30"/>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88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1" w:hRule="atLeast"/>
          <w:jc w:val="center"/>
        </w:trPr>
        <w:tc>
          <w:tcPr>
            <w:tcW w:w="472" w:type="dxa"/>
            <w:noWrap w:val="0"/>
            <w:tcMar>
              <w:left w:w="28" w:type="dxa"/>
              <w:right w:w="28" w:type="dxa"/>
            </w:tcMar>
            <w:vAlign w:val="center"/>
          </w:tcPr>
          <w:p>
            <w:pPr>
              <w:pStyle w:val="25"/>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pPr>
              <w:pStyle w:val="25"/>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pPr>
              <w:pStyle w:val="25"/>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pPr>
              <w:pStyle w:val="25"/>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pPr>
              <w:pStyle w:val="25"/>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8737" w:type="dxa"/>
            <w:noWrap w:val="0"/>
            <w:vAlign w:val="center"/>
          </w:tcPr>
          <w:p>
            <w:pPr>
              <w:pStyle w:val="77"/>
              <w:rPr>
                <w:rFonts w:eastAsia="宋体"/>
                <w:color w:val="auto"/>
                <w:sz w:val="24"/>
                <w:szCs w:val="24"/>
              </w:rPr>
            </w:pPr>
            <w:r>
              <w:rPr>
                <w:rFonts w:hint="default" w:ascii="Times New Roman" w:hAnsi="Times New Roman" w:cs="Times New Roman"/>
                <w:b/>
                <w:bCs/>
                <w:color w:val="auto"/>
                <w:sz w:val="24"/>
              </w:rPr>
              <w:t>一</w:t>
            </w:r>
            <w:r>
              <w:rPr>
                <w:rFonts w:hint="default" w:ascii="Times New Roman" w:hAnsi="Times New Roman" w:cs="Times New Roman"/>
                <w:b/>
                <w:bCs/>
                <w:color w:val="auto"/>
                <w:sz w:val="24"/>
                <w:szCs w:val="24"/>
              </w:rPr>
              <w:t>、水污染物排放及治理措施</w:t>
            </w:r>
          </w:p>
          <w:p>
            <w:pPr>
              <w:spacing w:line="360" w:lineRule="auto"/>
              <w:ind w:firstLine="480" w:firstLineChars="200"/>
              <w:rPr>
                <w:rStyle w:val="62"/>
                <w:rFonts w:hint="default" w:ascii="Times New Roman" w:hAnsi="Times New Roman"/>
                <w:color w:val="auto"/>
                <w:sz w:val="24"/>
                <w:szCs w:val="24"/>
              </w:rPr>
            </w:pPr>
            <w:r>
              <w:rPr>
                <w:rStyle w:val="62"/>
                <w:rFonts w:hint="default" w:ascii="Times New Roman" w:hAnsi="Times New Roman"/>
                <w:color w:val="auto"/>
                <w:sz w:val="24"/>
                <w:szCs w:val="24"/>
              </w:rPr>
              <w:t>施工高峰期施工人员及管理人员按</w:t>
            </w:r>
            <w:r>
              <w:rPr>
                <w:rFonts w:hint="eastAsia" w:eastAsia="宋体"/>
                <w:color w:val="auto"/>
                <w:sz w:val="24"/>
                <w:szCs w:val="24"/>
                <w:lang w:val="en-US" w:eastAsia="zh-CN"/>
              </w:rPr>
              <w:t>5</w:t>
            </w:r>
            <w:r>
              <w:rPr>
                <w:color w:val="auto"/>
                <w:sz w:val="24"/>
                <w:szCs w:val="24"/>
              </w:rPr>
              <w:t>人</w:t>
            </w:r>
            <w:r>
              <w:rPr>
                <w:rStyle w:val="62"/>
                <w:rFonts w:hint="default" w:ascii="Times New Roman" w:hAnsi="Times New Roman"/>
                <w:color w:val="auto"/>
                <w:sz w:val="24"/>
                <w:szCs w:val="24"/>
              </w:rPr>
              <w:t>计，施工人员用水标准照</w:t>
            </w:r>
            <w:r>
              <w:rPr>
                <w:rStyle w:val="55"/>
                <w:rFonts w:ascii="Times New Roman" w:hAnsi="Times New Roman"/>
                <w:color w:val="auto"/>
                <w:sz w:val="24"/>
                <w:szCs w:val="24"/>
              </w:rPr>
              <w:t>0.05m</w:t>
            </w:r>
            <w:r>
              <w:rPr>
                <w:rStyle w:val="55"/>
                <w:rFonts w:ascii="Times New Roman" w:hAnsi="Times New Roman"/>
                <w:color w:val="auto"/>
                <w:sz w:val="24"/>
                <w:szCs w:val="24"/>
                <w:vertAlign w:val="superscript"/>
              </w:rPr>
              <w:t>3</w:t>
            </w:r>
            <w:r>
              <w:rPr>
                <w:rStyle w:val="55"/>
                <w:rFonts w:ascii="Times New Roman" w:hAnsi="Times New Roman"/>
                <w:color w:val="auto"/>
                <w:sz w:val="24"/>
                <w:szCs w:val="24"/>
              </w:rPr>
              <w:t>/d·</w:t>
            </w:r>
            <w:r>
              <w:rPr>
                <w:rStyle w:val="62"/>
                <w:rFonts w:hint="default" w:ascii="Times New Roman" w:hAnsi="Times New Roman"/>
                <w:color w:val="auto"/>
                <w:sz w:val="24"/>
                <w:szCs w:val="24"/>
              </w:rPr>
              <w:t>人计，则施工人员</w:t>
            </w:r>
            <w:r>
              <w:rPr>
                <w:rStyle w:val="62"/>
                <w:rFonts w:hint="default"/>
                <w:color w:val="auto"/>
                <w:sz w:val="24"/>
                <w:szCs w:val="24"/>
              </w:rPr>
              <w:t>每天</w:t>
            </w:r>
            <w:r>
              <w:rPr>
                <w:rStyle w:val="62"/>
                <w:rFonts w:hint="default" w:ascii="Times New Roman" w:hAnsi="Times New Roman"/>
                <w:color w:val="auto"/>
                <w:sz w:val="24"/>
                <w:szCs w:val="24"/>
              </w:rPr>
              <w:t>用水量为</w:t>
            </w:r>
            <w:r>
              <w:rPr>
                <w:color w:val="auto"/>
                <w:sz w:val="24"/>
                <w:szCs w:val="24"/>
              </w:rPr>
              <w:t>0.</w:t>
            </w:r>
            <w:r>
              <w:rPr>
                <w:rFonts w:hint="eastAsia"/>
                <w:color w:val="auto"/>
                <w:sz w:val="24"/>
                <w:szCs w:val="24"/>
                <w:lang w:val="en-US" w:eastAsia="zh-CN"/>
              </w:rPr>
              <w:t>25</w:t>
            </w:r>
            <w:r>
              <w:rPr>
                <w:color w:val="auto"/>
                <w:sz w:val="24"/>
                <w:szCs w:val="24"/>
              </w:rPr>
              <w:t>m</w:t>
            </w:r>
            <w:r>
              <w:rPr>
                <w:color w:val="auto"/>
                <w:sz w:val="24"/>
                <w:szCs w:val="24"/>
                <w:vertAlign w:val="superscript"/>
              </w:rPr>
              <w:t>3</w:t>
            </w:r>
            <w:r>
              <w:rPr>
                <w:rStyle w:val="62"/>
                <w:rFonts w:hint="default" w:ascii="Times New Roman" w:hAnsi="Times New Roman"/>
                <w:color w:val="auto"/>
                <w:sz w:val="24"/>
                <w:szCs w:val="24"/>
              </w:rPr>
              <w:t>，污水量按照用水量的</w:t>
            </w:r>
            <w:r>
              <w:rPr>
                <w:color w:val="auto"/>
                <w:sz w:val="24"/>
                <w:szCs w:val="24"/>
              </w:rPr>
              <w:t>85%</w:t>
            </w:r>
            <w:r>
              <w:rPr>
                <w:rStyle w:val="62"/>
                <w:rFonts w:hint="default" w:ascii="Times New Roman" w:hAnsi="Times New Roman"/>
                <w:color w:val="auto"/>
                <w:sz w:val="24"/>
                <w:szCs w:val="24"/>
              </w:rPr>
              <w:t>计，则生活污水产生量约</w:t>
            </w:r>
            <w:r>
              <w:rPr>
                <w:color w:val="auto"/>
                <w:sz w:val="24"/>
                <w:szCs w:val="24"/>
              </w:rPr>
              <w:t>0.</w:t>
            </w:r>
            <w:r>
              <w:rPr>
                <w:rFonts w:hint="eastAsia"/>
                <w:color w:val="auto"/>
                <w:sz w:val="24"/>
                <w:szCs w:val="24"/>
                <w:lang w:val="en-US" w:eastAsia="zh-CN"/>
              </w:rPr>
              <w:t>22</w:t>
            </w:r>
            <w:r>
              <w:rPr>
                <w:color w:val="auto"/>
                <w:sz w:val="24"/>
                <w:szCs w:val="24"/>
              </w:rPr>
              <w:t>m</w:t>
            </w:r>
            <w:r>
              <w:rPr>
                <w:color w:val="auto"/>
                <w:sz w:val="24"/>
                <w:szCs w:val="24"/>
                <w:vertAlign w:val="superscript"/>
              </w:rPr>
              <w:t>3</w:t>
            </w:r>
            <w:r>
              <w:rPr>
                <w:color w:val="auto"/>
                <w:sz w:val="24"/>
                <w:szCs w:val="24"/>
              </w:rPr>
              <w:t>/d，</w:t>
            </w:r>
            <w:r>
              <w:rPr>
                <w:rStyle w:val="62"/>
                <w:rFonts w:hint="default" w:ascii="Times New Roman" w:hAnsi="Times New Roman"/>
                <w:color w:val="auto"/>
                <w:sz w:val="24"/>
                <w:szCs w:val="24"/>
              </w:rPr>
              <w:t>项目施工期废水主要为施工人员产生的生活污水，产生量少。</w:t>
            </w:r>
          </w:p>
          <w:p>
            <w:pPr>
              <w:pStyle w:val="19"/>
              <w:spacing w:after="0" w:line="360" w:lineRule="auto"/>
              <w:ind w:left="0" w:leftChars="0" w:firstLine="480" w:firstLineChars="200"/>
              <w:rPr>
                <w:rStyle w:val="62"/>
                <w:rFonts w:hint="default" w:ascii="Times New Roman" w:hAnsi="Times New Roman"/>
                <w:color w:val="auto"/>
                <w:sz w:val="24"/>
                <w:szCs w:val="24"/>
              </w:rPr>
            </w:pPr>
            <w:r>
              <w:rPr>
                <w:rStyle w:val="62"/>
                <w:rFonts w:hint="default" w:ascii="Times New Roman" w:hAnsi="Times New Roman"/>
                <w:color w:val="auto"/>
                <w:sz w:val="24"/>
                <w:szCs w:val="24"/>
              </w:rPr>
              <w:t>环评要求施工期废水采取如下措施：生活污水依托厂区现有有污水处理站处理后达到《污水综合排放标准》（</w:t>
            </w:r>
            <w:r>
              <w:rPr>
                <w:rStyle w:val="55"/>
                <w:rFonts w:ascii="Times New Roman" w:hAnsi="Times New Roman"/>
                <w:color w:val="auto"/>
                <w:sz w:val="24"/>
                <w:szCs w:val="24"/>
              </w:rPr>
              <w:t>GB8987-1996</w:t>
            </w:r>
            <w:r>
              <w:rPr>
                <w:rStyle w:val="62"/>
                <w:rFonts w:hint="default" w:ascii="Times New Roman" w:hAnsi="Times New Roman"/>
                <w:color w:val="auto"/>
                <w:sz w:val="24"/>
                <w:szCs w:val="24"/>
              </w:rPr>
              <w:t>）三级标准限值要求后排入市政污水管网。</w:t>
            </w:r>
          </w:p>
          <w:p>
            <w:pPr>
              <w:spacing w:line="360" w:lineRule="auto"/>
              <w:rPr>
                <w:rStyle w:val="62"/>
                <w:rFonts w:hint="default" w:ascii="Times New Roman" w:hAnsi="Times New Roman"/>
                <w:b/>
                <w:bCs/>
                <w:color w:val="auto"/>
                <w:sz w:val="24"/>
                <w:szCs w:val="24"/>
              </w:rPr>
            </w:pPr>
            <w:r>
              <w:rPr>
                <w:rFonts w:hint="default" w:ascii="Times New Roman" w:hAnsi="Times New Roman" w:cs="Times New Roman"/>
                <w:b/>
                <w:bCs/>
                <w:color w:val="auto"/>
                <w:sz w:val="24"/>
                <w:szCs w:val="24"/>
              </w:rPr>
              <w:t>二、大气污染物排放及治理措施</w:t>
            </w:r>
          </w:p>
          <w:p>
            <w:pPr>
              <w:spacing w:line="360" w:lineRule="auto"/>
              <w:ind w:firstLine="480" w:firstLineChars="200"/>
              <w:rPr>
                <w:color w:val="auto"/>
                <w:sz w:val="24"/>
                <w:szCs w:val="24"/>
              </w:rPr>
            </w:pPr>
            <w:r>
              <w:rPr>
                <w:color w:val="auto"/>
                <w:sz w:val="24"/>
                <w:szCs w:val="24"/>
              </w:rPr>
              <w:t>项目施工主要在室内进行设备</w:t>
            </w:r>
            <w:r>
              <w:rPr>
                <w:rFonts w:hint="eastAsia"/>
                <w:color w:val="auto"/>
                <w:sz w:val="24"/>
                <w:szCs w:val="24"/>
                <w:lang w:val="en-US" w:eastAsia="zh-CN"/>
              </w:rPr>
              <w:t>拆除</w:t>
            </w:r>
            <w:r>
              <w:rPr>
                <w:color w:val="auto"/>
                <w:sz w:val="24"/>
                <w:szCs w:val="24"/>
              </w:rPr>
              <w:t>、厂房清理、</w:t>
            </w:r>
            <w:r>
              <w:rPr>
                <w:rFonts w:hint="eastAsia"/>
                <w:color w:val="auto"/>
                <w:sz w:val="24"/>
                <w:szCs w:val="24"/>
                <w:lang w:eastAsia="zh-CN"/>
              </w:rPr>
              <w:t>设备安装</w:t>
            </w:r>
            <w:r>
              <w:rPr>
                <w:color w:val="auto"/>
                <w:sz w:val="24"/>
                <w:szCs w:val="24"/>
              </w:rPr>
              <w:t>。施工期所产生的空气污染物主要为粉尘，属无组织排放。粉尘主要来自</w:t>
            </w:r>
            <w:r>
              <w:rPr>
                <w:rFonts w:hint="eastAsia"/>
                <w:color w:val="auto"/>
                <w:sz w:val="24"/>
                <w:szCs w:val="24"/>
                <w:lang w:eastAsia="zh-CN"/>
              </w:rPr>
              <w:t>设备拆除、安装</w:t>
            </w:r>
            <w:r>
              <w:rPr>
                <w:color w:val="auto"/>
                <w:sz w:val="24"/>
                <w:szCs w:val="24"/>
              </w:rPr>
              <w:t>的切割、打磨等工序。由于工程量较小，施工期不长，产生量很小。</w:t>
            </w:r>
          </w:p>
          <w:p>
            <w:pPr>
              <w:spacing w:line="360" w:lineRule="auto"/>
              <w:ind w:firstLine="480" w:firstLineChars="200"/>
              <w:rPr>
                <w:color w:val="auto"/>
                <w:sz w:val="24"/>
                <w:szCs w:val="24"/>
              </w:rPr>
            </w:pPr>
            <w:r>
              <w:rPr>
                <w:color w:val="auto"/>
                <w:sz w:val="24"/>
                <w:szCs w:val="24"/>
              </w:rPr>
              <w:t>环评要求施工作业必须采取以下措施：</w:t>
            </w:r>
          </w:p>
          <w:p>
            <w:pPr>
              <w:spacing w:line="360" w:lineRule="auto"/>
              <w:ind w:firstLine="480" w:firstLineChars="200"/>
              <w:rPr>
                <w:color w:val="auto"/>
                <w:sz w:val="24"/>
                <w:szCs w:val="24"/>
              </w:rPr>
            </w:pPr>
            <w:r>
              <w:rPr>
                <w:color w:val="auto"/>
                <w:sz w:val="24"/>
                <w:szCs w:val="24"/>
              </w:rPr>
              <w:t>（1）采用符合国家规定质量要求的环保型材料，以尽可能减轻施工过程中及营业后产生的废气对室内外环境空气的影响，使装修后室内空气质量达到有关规定的标准要求。</w:t>
            </w:r>
          </w:p>
          <w:p>
            <w:pPr>
              <w:spacing w:line="360" w:lineRule="auto"/>
              <w:ind w:firstLine="480" w:firstLineChars="200"/>
              <w:rPr>
                <w:color w:val="auto"/>
                <w:sz w:val="24"/>
                <w:szCs w:val="24"/>
              </w:rPr>
            </w:pPr>
            <w:r>
              <w:rPr>
                <w:color w:val="auto"/>
                <w:sz w:val="24"/>
                <w:szCs w:val="24"/>
              </w:rPr>
              <w:t>（2）确保湿法作业，施工场地设专门的保洁工人，场地清理阶段，做到先洒水，后清扫，防止扬尘产生。</w:t>
            </w:r>
          </w:p>
          <w:p>
            <w:pPr>
              <w:spacing w:line="360" w:lineRule="auto"/>
              <w:ind w:firstLine="480" w:firstLineChars="200"/>
              <w:rPr>
                <w:color w:val="auto"/>
                <w:sz w:val="24"/>
                <w:szCs w:val="24"/>
              </w:rPr>
            </w:pPr>
            <w:r>
              <w:rPr>
                <w:color w:val="auto"/>
                <w:sz w:val="24"/>
                <w:szCs w:val="24"/>
              </w:rPr>
              <w:t>（3）在进行可能产生扬尘的工序时需关闭门窗，避免扬尘飘散到周围大气环境中。要求在施工期采取相应的废气污染防治措施，在施工建设中做到规范管理，文明施工，确保施工扬尘、有机废气等不对周边大气环境质量及装修工人造成污染影响，达到保护环境、保障身心健康的目的。</w:t>
            </w:r>
          </w:p>
          <w:p>
            <w:pPr>
              <w:spacing w:line="360" w:lineRule="auto"/>
              <w:ind w:firstLine="480" w:firstLineChars="200"/>
              <w:rPr>
                <w:color w:val="auto"/>
                <w:sz w:val="24"/>
                <w:szCs w:val="24"/>
              </w:rPr>
            </w:pPr>
            <w:r>
              <w:rPr>
                <w:color w:val="auto"/>
                <w:sz w:val="24"/>
                <w:szCs w:val="24"/>
              </w:rPr>
              <w:t>通过以上措施能够实现对施工扬尘的有效控制。</w:t>
            </w:r>
          </w:p>
          <w:p>
            <w:pPr>
              <w:spacing w:line="360" w:lineRule="auto"/>
              <w:rPr>
                <w:rStyle w:val="50"/>
                <w:rFonts w:ascii="Times New Roman" w:hAnsi="Times New Roman"/>
                <w:b/>
                <w:color w:val="auto"/>
                <w:sz w:val="24"/>
                <w:szCs w:val="24"/>
              </w:rPr>
            </w:pPr>
            <w:r>
              <w:rPr>
                <w:rFonts w:hint="default" w:ascii="Times New Roman" w:hAnsi="Times New Roman" w:cs="Times New Roman"/>
                <w:b/>
                <w:bCs/>
                <w:color w:val="auto"/>
                <w:sz w:val="24"/>
                <w:szCs w:val="24"/>
              </w:rPr>
              <w:t>三、噪声排放及治理措施</w:t>
            </w:r>
          </w:p>
          <w:p>
            <w:pPr>
              <w:spacing w:line="360" w:lineRule="auto"/>
              <w:ind w:firstLine="480" w:firstLineChars="200"/>
              <w:rPr>
                <w:rStyle w:val="50"/>
                <w:rFonts w:ascii="Times New Roman" w:hAnsi="Times New Roman"/>
                <w:color w:val="auto"/>
                <w:sz w:val="24"/>
                <w:szCs w:val="24"/>
              </w:rPr>
            </w:pPr>
            <w:r>
              <w:rPr>
                <w:color w:val="auto"/>
                <w:sz w:val="24"/>
                <w:szCs w:val="24"/>
              </w:rPr>
              <w:t>施工期主要分为机械噪声、施工作业噪声、施工车辆噪声和设备安装噪声。</w:t>
            </w:r>
            <w:r>
              <w:rPr>
                <w:rStyle w:val="50"/>
                <w:rFonts w:ascii="Times New Roman" w:hAnsi="Times New Roman"/>
                <w:color w:val="auto"/>
                <w:sz w:val="24"/>
                <w:szCs w:val="24"/>
              </w:rPr>
              <w:t>施工期噪声将对周围环境造成一定的影响。施工机械</w:t>
            </w:r>
            <w:r>
              <w:rPr>
                <w:color w:val="auto"/>
                <w:sz w:val="24"/>
                <w:szCs w:val="24"/>
              </w:rPr>
              <w:t>噪声值在70~90dB（A）之间；瞬时噪声在90~105dB(A)。项目应严格按照要求进行施工，施工期间场界噪声满足《建筑施工场界环境噪声排放标准》（GB12523-2011）标准。</w:t>
            </w:r>
            <w:r>
              <w:rPr>
                <w:rStyle w:val="50"/>
                <w:rFonts w:ascii="Times New Roman" w:hAnsi="Times New Roman"/>
                <w:color w:val="auto"/>
                <w:sz w:val="24"/>
                <w:szCs w:val="24"/>
              </w:rPr>
              <w:t>为了降低施工噪声对周围居民的影响，应采取如下噪声控制措施：</w:t>
            </w:r>
          </w:p>
          <w:p>
            <w:pPr>
              <w:spacing w:line="360" w:lineRule="auto"/>
              <w:ind w:firstLine="480" w:firstLineChars="200"/>
              <w:rPr>
                <w:color w:val="auto"/>
                <w:sz w:val="24"/>
                <w:szCs w:val="24"/>
              </w:rPr>
            </w:pPr>
            <w:r>
              <w:rPr>
                <w:rStyle w:val="50"/>
                <w:rFonts w:ascii="Times New Roman" w:hAnsi="Times New Roman"/>
                <w:color w:val="auto"/>
                <w:sz w:val="24"/>
                <w:szCs w:val="24"/>
              </w:rPr>
              <w:t>（1）</w:t>
            </w:r>
            <w:r>
              <w:rPr>
                <w:color w:val="auto"/>
                <w:sz w:val="24"/>
                <w:szCs w:val="24"/>
              </w:rPr>
              <w:t>施工时采用降噪作业方式：施工机械选型时尽量选用可替代的低噪声的设备，对动力机械设备进行定期的维护、养护，避免设备因松动部件的振动或消声器的损坏而增加其工作时的声压级；设备用完后或不用时应立即关闭。</w:t>
            </w:r>
          </w:p>
          <w:p>
            <w:pPr>
              <w:spacing w:line="360" w:lineRule="auto"/>
              <w:ind w:firstLine="480" w:firstLineChars="200"/>
              <w:rPr>
                <w:rStyle w:val="50"/>
                <w:rFonts w:ascii="Times New Roman" w:hAnsi="Times New Roman"/>
                <w:color w:val="auto"/>
                <w:sz w:val="24"/>
                <w:szCs w:val="24"/>
              </w:rPr>
            </w:pPr>
            <w:r>
              <w:rPr>
                <w:rStyle w:val="50"/>
                <w:rFonts w:ascii="Times New Roman" w:hAnsi="Times New Roman"/>
                <w:color w:val="auto"/>
                <w:sz w:val="24"/>
                <w:szCs w:val="24"/>
              </w:rPr>
              <w:t>（2）合理安排施工时间，装卸、搬运设备、材料等严禁抛掷。如果工艺要求必须连续作业的强噪声施工，应首先征得当地住建、环保、城管等主管部门的同意，并及时向周围居民公告。施工期间场界噪声必须满足《建筑施工场界环境噪声排放标准》（</w:t>
            </w:r>
            <w:r>
              <w:rPr>
                <w:color w:val="auto"/>
                <w:sz w:val="24"/>
                <w:szCs w:val="24"/>
              </w:rPr>
              <w:t>GB12523-2011</w:t>
            </w:r>
            <w:r>
              <w:rPr>
                <w:rStyle w:val="50"/>
                <w:rFonts w:ascii="Times New Roman" w:hAnsi="Times New Roman"/>
                <w:color w:val="auto"/>
                <w:sz w:val="24"/>
                <w:szCs w:val="24"/>
              </w:rPr>
              <w:t>）中要求。</w:t>
            </w:r>
          </w:p>
          <w:p>
            <w:pPr>
              <w:tabs>
                <w:tab w:val="left" w:pos="264"/>
              </w:tabs>
              <w:spacing w:line="360" w:lineRule="auto"/>
              <w:ind w:firstLine="480" w:firstLineChars="200"/>
              <w:rPr>
                <w:rStyle w:val="50"/>
                <w:rFonts w:ascii="Times New Roman" w:hAnsi="Times New Roman"/>
                <w:color w:val="auto"/>
                <w:sz w:val="24"/>
                <w:szCs w:val="24"/>
              </w:rPr>
            </w:pPr>
            <w:r>
              <w:rPr>
                <w:rStyle w:val="50"/>
                <w:rFonts w:ascii="Times New Roman" w:hAnsi="Times New Roman"/>
                <w:color w:val="auto"/>
                <w:sz w:val="24"/>
                <w:szCs w:val="24"/>
              </w:rPr>
              <w:t>（3）加强施工人员的管理和教育，施工中减少不必要的金属敲击声。</w:t>
            </w:r>
          </w:p>
          <w:p>
            <w:pPr>
              <w:spacing w:line="360" w:lineRule="auto"/>
              <w:ind w:firstLine="480" w:firstLineChars="200"/>
              <w:rPr>
                <w:rStyle w:val="50"/>
                <w:rFonts w:ascii="Times New Roman" w:hAnsi="Times New Roman"/>
                <w:color w:val="auto"/>
                <w:sz w:val="24"/>
                <w:szCs w:val="24"/>
              </w:rPr>
            </w:pPr>
            <w:r>
              <w:rPr>
                <w:rStyle w:val="50"/>
                <w:rFonts w:ascii="Times New Roman" w:hAnsi="Times New Roman"/>
                <w:color w:val="auto"/>
                <w:sz w:val="24"/>
                <w:szCs w:val="24"/>
              </w:rPr>
              <w:t>通过采取以上有效的噪声控制措施，施工场界噪声能达到《建筑施工场界环境噪声排放标准》（</w:t>
            </w:r>
            <w:r>
              <w:rPr>
                <w:color w:val="auto"/>
                <w:sz w:val="24"/>
                <w:szCs w:val="24"/>
              </w:rPr>
              <w:t>GB12523-2011</w:t>
            </w:r>
            <w:r>
              <w:rPr>
                <w:rStyle w:val="50"/>
                <w:rFonts w:ascii="Times New Roman" w:hAnsi="Times New Roman"/>
                <w:color w:val="auto"/>
                <w:sz w:val="24"/>
                <w:szCs w:val="24"/>
              </w:rPr>
              <w:t>）的规定。</w:t>
            </w:r>
          </w:p>
          <w:p>
            <w:pPr>
              <w:spacing w:line="360" w:lineRule="auto"/>
              <w:rPr>
                <w:rStyle w:val="50"/>
                <w:rFonts w:ascii="Times New Roman" w:hAnsi="Times New Roman"/>
                <w:b/>
                <w:color w:val="auto"/>
                <w:sz w:val="24"/>
                <w:szCs w:val="24"/>
              </w:rPr>
            </w:pPr>
            <w:r>
              <w:rPr>
                <w:rFonts w:hint="default" w:ascii="Times New Roman" w:hAnsi="Times New Roman" w:cs="Times New Roman"/>
                <w:b/>
                <w:bCs/>
                <w:color w:val="auto"/>
                <w:sz w:val="24"/>
                <w:szCs w:val="24"/>
              </w:rPr>
              <w:t>四、固体废物排放及治理措施</w:t>
            </w:r>
          </w:p>
          <w:p>
            <w:pPr>
              <w:spacing w:line="360" w:lineRule="auto"/>
              <w:ind w:firstLine="480" w:firstLineChars="200"/>
              <w:rPr>
                <w:rStyle w:val="50"/>
                <w:rFonts w:ascii="Times New Roman" w:hAnsi="Times New Roman"/>
                <w:color w:val="auto"/>
                <w:sz w:val="24"/>
                <w:szCs w:val="24"/>
              </w:rPr>
            </w:pPr>
            <w:r>
              <w:rPr>
                <w:rStyle w:val="50"/>
                <w:rFonts w:ascii="Times New Roman" w:hAnsi="Times New Roman"/>
                <w:color w:val="auto"/>
                <w:sz w:val="24"/>
                <w:szCs w:val="24"/>
              </w:rPr>
              <w:t>施工期固废主要为施工人员产生的生活垃圾、</w:t>
            </w:r>
            <w:r>
              <w:rPr>
                <w:rFonts w:ascii="Times New Roman" w:hAnsi="Times New Roman"/>
                <w:color w:val="auto"/>
                <w:spacing w:val="-3"/>
                <w:kern w:val="0"/>
                <w:sz w:val="24"/>
                <w:szCs w:val="24"/>
              </w:rPr>
              <w:t>废包装材料、</w:t>
            </w:r>
            <w:r>
              <w:rPr>
                <w:rFonts w:hint="eastAsia" w:ascii="Times New Roman" w:hAnsi="Times New Roman"/>
                <w:color w:val="auto"/>
                <w:spacing w:val="-3"/>
                <w:kern w:val="0"/>
                <w:sz w:val="24"/>
                <w:szCs w:val="24"/>
                <w:lang w:val="en-US" w:eastAsia="zh-CN"/>
              </w:rPr>
              <w:t>废</w:t>
            </w:r>
            <w:r>
              <w:rPr>
                <w:rFonts w:ascii="Times New Roman" w:hAnsi="Times New Roman"/>
                <w:color w:val="auto"/>
                <w:spacing w:val="-3"/>
                <w:kern w:val="0"/>
                <w:sz w:val="24"/>
                <w:szCs w:val="24"/>
              </w:rPr>
              <w:t>边角料</w:t>
            </w:r>
            <w:r>
              <w:rPr>
                <w:rStyle w:val="50"/>
                <w:rFonts w:ascii="Times New Roman" w:hAnsi="Times New Roman"/>
                <w:color w:val="auto"/>
                <w:sz w:val="24"/>
                <w:szCs w:val="24"/>
              </w:rPr>
              <w:t>。</w:t>
            </w:r>
          </w:p>
          <w:p>
            <w:pPr>
              <w:spacing w:line="360" w:lineRule="auto"/>
              <w:ind w:firstLine="482" w:firstLineChars="200"/>
              <w:rPr>
                <w:rStyle w:val="50"/>
                <w:rFonts w:ascii="Times New Roman" w:hAnsi="Times New Roman"/>
                <w:b/>
                <w:color w:val="auto"/>
                <w:sz w:val="24"/>
                <w:szCs w:val="24"/>
              </w:rPr>
            </w:pPr>
            <w:r>
              <w:rPr>
                <w:rStyle w:val="50"/>
                <w:rFonts w:ascii="Times New Roman" w:hAnsi="Times New Roman"/>
                <w:b/>
                <w:color w:val="auto"/>
                <w:sz w:val="24"/>
                <w:szCs w:val="24"/>
              </w:rPr>
              <w:t>（1）生活垃圾</w:t>
            </w:r>
          </w:p>
          <w:p>
            <w:pPr>
              <w:spacing w:line="360" w:lineRule="auto"/>
              <w:ind w:firstLine="480" w:firstLineChars="200"/>
              <w:rPr>
                <w:color w:val="auto"/>
                <w:sz w:val="24"/>
                <w:szCs w:val="24"/>
              </w:rPr>
            </w:pPr>
            <w:r>
              <w:rPr>
                <w:color w:val="auto"/>
                <w:sz w:val="24"/>
                <w:szCs w:val="24"/>
              </w:rPr>
              <w:t>施工高峰期施工人员共</w:t>
            </w:r>
            <w:r>
              <w:rPr>
                <w:rFonts w:hint="eastAsia"/>
                <w:color w:val="auto"/>
                <w:sz w:val="24"/>
                <w:szCs w:val="24"/>
                <w:lang w:val="en-US" w:eastAsia="zh-CN"/>
              </w:rPr>
              <w:t>5</w:t>
            </w:r>
            <w:r>
              <w:rPr>
                <w:color w:val="auto"/>
                <w:sz w:val="24"/>
                <w:szCs w:val="24"/>
              </w:rPr>
              <w:t>人，按照0.5kg/d.人垃圾产生量计算，产生的生活垃圾最高为</w:t>
            </w:r>
            <w:r>
              <w:rPr>
                <w:rFonts w:hint="eastAsia"/>
                <w:color w:val="auto"/>
                <w:sz w:val="24"/>
                <w:szCs w:val="24"/>
                <w:lang w:val="en-US" w:eastAsia="zh-CN"/>
              </w:rPr>
              <w:t>2.5</w:t>
            </w:r>
            <w:r>
              <w:rPr>
                <w:color w:val="auto"/>
                <w:sz w:val="24"/>
                <w:szCs w:val="24"/>
              </w:rPr>
              <w:t>kg/d。产生的生活垃圾由垃圾桶集中收集后由环卫部门统一清运</w:t>
            </w:r>
          </w:p>
          <w:p>
            <w:pPr>
              <w:spacing w:line="360" w:lineRule="auto"/>
              <w:ind w:firstLine="482" w:firstLineChars="200"/>
              <w:rPr>
                <w:rStyle w:val="50"/>
                <w:rFonts w:ascii="Times New Roman" w:hAnsi="Times New Roman"/>
                <w:b/>
                <w:color w:val="auto"/>
                <w:sz w:val="24"/>
                <w:szCs w:val="24"/>
              </w:rPr>
            </w:pPr>
            <w:r>
              <w:rPr>
                <w:rStyle w:val="50"/>
                <w:rFonts w:ascii="Times New Roman" w:hAnsi="Times New Roman"/>
                <w:b/>
                <w:color w:val="auto"/>
                <w:sz w:val="24"/>
                <w:szCs w:val="24"/>
              </w:rPr>
              <w:t>（2）</w:t>
            </w:r>
            <w:r>
              <w:rPr>
                <w:rFonts w:ascii="Times New Roman" w:hAnsi="Times New Roman"/>
                <w:b/>
                <w:bCs/>
                <w:color w:val="auto"/>
                <w:spacing w:val="-3"/>
                <w:kern w:val="0"/>
                <w:sz w:val="24"/>
                <w:szCs w:val="24"/>
              </w:rPr>
              <w:t>废包装材料、</w:t>
            </w:r>
            <w:r>
              <w:rPr>
                <w:rFonts w:hint="eastAsia" w:ascii="Times New Roman" w:hAnsi="Times New Roman"/>
                <w:b/>
                <w:bCs/>
                <w:color w:val="auto"/>
                <w:spacing w:val="-3"/>
                <w:kern w:val="0"/>
                <w:sz w:val="24"/>
                <w:szCs w:val="24"/>
                <w:lang w:val="en-US" w:eastAsia="zh-CN"/>
              </w:rPr>
              <w:t>废</w:t>
            </w:r>
            <w:r>
              <w:rPr>
                <w:rFonts w:ascii="Times New Roman" w:hAnsi="Times New Roman"/>
                <w:b/>
                <w:bCs/>
                <w:color w:val="auto"/>
                <w:spacing w:val="-3"/>
                <w:kern w:val="0"/>
                <w:sz w:val="24"/>
                <w:szCs w:val="24"/>
              </w:rPr>
              <w:t>边角料</w:t>
            </w:r>
          </w:p>
          <w:p>
            <w:pPr>
              <w:spacing w:line="360" w:lineRule="auto"/>
              <w:ind w:firstLine="480" w:firstLineChars="200"/>
              <w:rPr>
                <w:rStyle w:val="50"/>
                <w:rFonts w:hint="default" w:ascii="Times New Roman" w:hAnsi="Times New Roman" w:eastAsia="宋体" w:cs="Times New Roman"/>
                <w:color w:val="auto"/>
                <w:sz w:val="24"/>
                <w:szCs w:val="24"/>
              </w:rPr>
            </w:pPr>
            <w:r>
              <w:rPr>
                <w:rStyle w:val="50"/>
                <w:rFonts w:hint="default" w:ascii="Times New Roman" w:hAnsi="Times New Roman" w:eastAsia="宋体" w:cs="Times New Roman"/>
                <w:color w:val="auto"/>
                <w:sz w:val="24"/>
                <w:szCs w:val="24"/>
                <w:lang w:val="en-US" w:eastAsia="zh-CN"/>
              </w:rPr>
              <w:t>项目</w:t>
            </w:r>
            <w:r>
              <w:rPr>
                <w:rStyle w:val="50"/>
                <w:rFonts w:hint="default" w:ascii="Times New Roman" w:hAnsi="Times New Roman" w:eastAsia="宋体" w:cs="Times New Roman"/>
                <w:color w:val="auto"/>
                <w:sz w:val="24"/>
                <w:szCs w:val="24"/>
              </w:rPr>
              <w:t>在施工过程中产生的</w:t>
            </w:r>
            <w:r>
              <w:rPr>
                <w:rFonts w:hint="default" w:ascii="Times New Roman" w:hAnsi="Times New Roman" w:eastAsia="宋体" w:cs="Times New Roman"/>
                <w:color w:val="auto"/>
                <w:spacing w:val="-3"/>
                <w:kern w:val="0"/>
                <w:sz w:val="24"/>
                <w:szCs w:val="24"/>
              </w:rPr>
              <w:t>废包装材料、</w:t>
            </w:r>
            <w:r>
              <w:rPr>
                <w:rFonts w:hint="default" w:ascii="Times New Roman" w:hAnsi="Times New Roman" w:eastAsia="宋体" w:cs="Times New Roman"/>
                <w:color w:val="auto"/>
                <w:spacing w:val="-3"/>
                <w:kern w:val="0"/>
                <w:sz w:val="24"/>
                <w:szCs w:val="24"/>
                <w:lang w:val="en-US" w:eastAsia="zh-CN"/>
              </w:rPr>
              <w:t>废</w:t>
            </w:r>
            <w:r>
              <w:rPr>
                <w:rFonts w:hint="default" w:ascii="Times New Roman" w:hAnsi="Times New Roman" w:eastAsia="宋体" w:cs="Times New Roman"/>
                <w:color w:val="auto"/>
                <w:spacing w:val="-3"/>
                <w:kern w:val="0"/>
                <w:sz w:val="24"/>
                <w:szCs w:val="24"/>
              </w:rPr>
              <w:t>边角料</w:t>
            </w:r>
            <w:r>
              <w:rPr>
                <w:rFonts w:hint="default" w:ascii="Times New Roman" w:hAnsi="Times New Roman" w:eastAsia="宋体" w:cs="Times New Roman"/>
                <w:color w:val="auto"/>
                <w:spacing w:val="-3"/>
                <w:kern w:val="0"/>
                <w:sz w:val="24"/>
                <w:szCs w:val="24"/>
                <w:lang w:val="en-US" w:eastAsia="zh-CN"/>
              </w:rPr>
              <w:t>等</w:t>
            </w:r>
            <w:r>
              <w:rPr>
                <w:rStyle w:val="50"/>
                <w:rFonts w:hint="default" w:ascii="Times New Roman" w:hAnsi="Times New Roman" w:eastAsia="宋体" w:cs="Times New Roman"/>
                <w:color w:val="auto"/>
                <w:sz w:val="24"/>
                <w:szCs w:val="24"/>
              </w:rPr>
              <w:t>，会产生扬尘，因此不能随意倾倒，建议进行集中堆放。</w:t>
            </w:r>
            <w:r>
              <w:rPr>
                <w:rFonts w:hint="default" w:ascii="Times New Roman" w:hAnsi="Times New Roman" w:eastAsia="宋体" w:cs="Times New Roman"/>
                <w:color w:val="auto"/>
                <w:sz w:val="24"/>
                <w:szCs w:val="24"/>
              </w:rPr>
              <w:t>产生的废包装材料、废边角料</w:t>
            </w:r>
            <w:r>
              <w:rPr>
                <w:rFonts w:hint="default" w:ascii="Times New Roman" w:hAnsi="Times New Roman" w:eastAsia="宋体" w:cs="Times New Roman"/>
                <w:color w:val="auto"/>
                <w:sz w:val="24"/>
                <w:szCs w:val="24"/>
                <w:lang w:eastAsia="zh-CN"/>
              </w:rPr>
              <w:t>外售废品回收站，不能回收的交由环卫部门统一清运处理。</w:t>
            </w:r>
          </w:p>
          <w:p>
            <w:pPr>
              <w:spacing w:line="360" w:lineRule="auto"/>
              <w:ind w:firstLine="480" w:firstLineChars="200"/>
              <w:rPr>
                <w:bCs/>
                <w:color w:val="auto"/>
                <w:spacing w:val="-10"/>
                <w:szCs w:val="21"/>
              </w:rPr>
            </w:pPr>
            <w:r>
              <w:rPr>
                <w:rFonts w:hint="default" w:ascii="Times New Roman" w:hAnsi="Times New Roman" w:eastAsia="宋体" w:cs="Times New Roman"/>
                <w:color w:val="auto"/>
                <w:sz w:val="24"/>
                <w:szCs w:val="24"/>
              </w:rPr>
              <w:t>通过以上分析，施工期通过采取相应的环境治理措施，能够实现对污染物的有效控制和治理，不会明显改变场地周边环境，施工时间较短，施工结束环境影响消失。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4" w:hRule="atLeast"/>
          <w:jc w:val="center"/>
        </w:trPr>
        <w:tc>
          <w:tcPr>
            <w:tcW w:w="472" w:type="dxa"/>
            <w:noWrap w:val="0"/>
            <w:tcMar>
              <w:left w:w="28" w:type="dxa"/>
              <w:right w:w="28" w:type="dxa"/>
            </w:tcMar>
            <w:vAlign w:val="center"/>
          </w:tcPr>
          <w:p>
            <w:pPr>
              <w:adjustRightInd w:val="0"/>
              <w:snapToGrid w:val="0"/>
              <w:jc w:val="center"/>
              <w:rPr>
                <w:bCs/>
                <w:color w:val="auto"/>
                <w:sz w:val="24"/>
              </w:rPr>
            </w:pPr>
            <w:r>
              <w:rPr>
                <w:bCs/>
                <w:color w:val="auto"/>
                <w:sz w:val="24"/>
              </w:rPr>
              <w:t>运营</w:t>
            </w:r>
          </w:p>
          <w:p>
            <w:pPr>
              <w:adjustRightInd w:val="0"/>
              <w:snapToGrid w:val="0"/>
              <w:jc w:val="center"/>
              <w:rPr>
                <w:bCs/>
                <w:color w:val="auto"/>
                <w:sz w:val="24"/>
              </w:rPr>
            </w:pPr>
            <w:r>
              <w:rPr>
                <w:bCs/>
                <w:color w:val="auto"/>
                <w:sz w:val="24"/>
              </w:rPr>
              <w:t>期环</w:t>
            </w:r>
          </w:p>
          <w:p>
            <w:pPr>
              <w:adjustRightInd w:val="0"/>
              <w:snapToGrid w:val="0"/>
              <w:jc w:val="center"/>
              <w:rPr>
                <w:bCs/>
                <w:color w:val="auto"/>
                <w:sz w:val="24"/>
              </w:rPr>
            </w:pPr>
            <w:r>
              <w:rPr>
                <w:bCs/>
                <w:color w:val="auto"/>
                <w:sz w:val="24"/>
              </w:rPr>
              <w:t>境影</w:t>
            </w:r>
          </w:p>
          <w:p>
            <w:pPr>
              <w:adjustRightInd w:val="0"/>
              <w:snapToGrid w:val="0"/>
              <w:jc w:val="center"/>
              <w:rPr>
                <w:bCs/>
                <w:color w:val="auto"/>
                <w:sz w:val="24"/>
              </w:rPr>
            </w:pPr>
            <w:r>
              <w:rPr>
                <w:bCs/>
                <w:color w:val="auto"/>
                <w:sz w:val="24"/>
              </w:rPr>
              <w:t>响和</w:t>
            </w:r>
          </w:p>
          <w:p>
            <w:pPr>
              <w:adjustRightInd w:val="0"/>
              <w:snapToGrid w:val="0"/>
              <w:jc w:val="center"/>
              <w:rPr>
                <w:bCs/>
                <w:color w:val="auto"/>
                <w:sz w:val="24"/>
              </w:rPr>
            </w:pPr>
            <w:r>
              <w:rPr>
                <w:bCs/>
                <w:color w:val="auto"/>
                <w:sz w:val="24"/>
              </w:rPr>
              <w:t>保护</w:t>
            </w:r>
          </w:p>
          <w:p>
            <w:pPr>
              <w:adjustRightInd w:val="0"/>
              <w:snapToGrid w:val="0"/>
              <w:jc w:val="center"/>
              <w:rPr>
                <w:bCs/>
                <w:color w:val="auto"/>
                <w:szCs w:val="21"/>
              </w:rPr>
            </w:pPr>
            <w:r>
              <w:rPr>
                <w:bCs/>
                <w:color w:val="auto"/>
                <w:sz w:val="24"/>
              </w:rPr>
              <w:t>措施</w:t>
            </w:r>
          </w:p>
        </w:tc>
        <w:tc>
          <w:tcPr>
            <w:tcW w:w="8737" w:type="dxa"/>
            <w:noWrap w:val="0"/>
            <w:vAlign w:val="center"/>
          </w:tcPr>
          <w:p>
            <w:pPr>
              <w:spacing w:line="360" w:lineRule="auto"/>
              <w:ind w:firstLine="480" w:firstLineChars="200"/>
              <w:rPr>
                <w:b w:val="0"/>
                <w:bCs w:val="0"/>
                <w:color w:val="auto"/>
                <w:kern w:val="0"/>
                <w:sz w:val="24"/>
                <w:szCs w:val="24"/>
              </w:rPr>
            </w:pPr>
            <w:r>
              <w:rPr>
                <w:rFonts w:hint="eastAsia"/>
                <w:b w:val="0"/>
                <w:bCs w:val="0"/>
                <w:color w:val="auto"/>
                <w:sz w:val="24"/>
                <w:szCs w:val="24"/>
                <w:lang w:val="en-US" w:eastAsia="zh-CN"/>
              </w:rPr>
              <w:t>本次技改拟取消</w:t>
            </w:r>
            <w:r>
              <w:rPr>
                <w:rFonts w:hint="eastAsia"/>
                <w:b w:val="0"/>
                <w:bCs w:val="0"/>
                <w:color w:val="auto"/>
                <w:sz w:val="24"/>
                <w:szCs w:val="24"/>
              </w:rPr>
              <w:t>现有</w:t>
            </w:r>
            <w:r>
              <w:rPr>
                <w:rFonts w:hint="eastAsia"/>
                <w:b w:val="0"/>
                <w:bCs w:val="0"/>
                <w:color w:val="auto"/>
                <w:sz w:val="24"/>
                <w:szCs w:val="24"/>
                <w:lang w:val="en-US" w:eastAsia="zh-CN"/>
              </w:rPr>
              <w:t>1</w:t>
            </w:r>
            <w:r>
              <w:rPr>
                <w:rFonts w:hint="eastAsia"/>
                <w:b w:val="0"/>
                <w:bCs w:val="0"/>
                <w:color w:val="auto"/>
                <w:sz w:val="24"/>
                <w:szCs w:val="24"/>
              </w:rPr>
              <w:t>条塑料颗粒生产线（生产规模为年产塑料颗粒0.5万吨）</w:t>
            </w:r>
            <w:r>
              <w:rPr>
                <w:rFonts w:hint="eastAsia"/>
                <w:b w:val="0"/>
                <w:bCs w:val="0"/>
                <w:color w:val="auto"/>
                <w:sz w:val="24"/>
                <w:szCs w:val="24"/>
                <w:lang w:eastAsia="zh-CN"/>
              </w:rPr>
              <w:t>，</w:t>
            </w:r>
            <w:r>
              <w:rPr>
                <w:rFonts w:hint="eastAsia"/>
                <w:b w:val="0"/>
                <w:bCs w:val="0"/>
                <w:color w:val="auto"/>
                <w:sz w:val="24"/>
                <w:szCs w:val="24"/>
                <w:lang w:val="en-US" w:eastAsia="zh-CN"/>
              </w:rPr>
              <w:t>塑料丝生产全部改为新料，并</w:t>
            </w:r>
            <w:r>
              <w:rPr>
                <w:b w:val="0"/>
                <w:bCs w:val="0"/>
                <w:color w:val="auto"/>
                <w:sz w:val="24"/>
                <w:szCs w:val="24"/>
              </w:rPr>
              <w:t>计划购置</w:t>
            </w:r>
            <w:r>
              <w:rPr>
                <w:rFonts w:hint="eastAsia"/>
                <w:b w:val="0"/>
                <w:bCs w:val="0"/>
                <w:color w:val="auto"/>
                <w:sz w:val="24"/>
                <w:szCs w:val="24"/>
              </w:rPr>
              <w:t>圆织机</w:t>
            </w:r>
            <w:r>
              <w:rPr>
                <w:rFonts w:hint="eastAsia"/>
                <w:b w:val="0"/>
                <w:bCs w:val="0"/>
                <w:color w:val="auto"/>
                <w:sz w:val="24"/>
                <w:szCs w:val="24"/>
                <w:lang w:val="en-US" w:eastAsia="zh-CN"/>
              </w:rPr>
              <w:t>150台</w:t>
            </w:r>
            <w:r>
              <w:rPr>
                <w:rFonts w:hint="eastAsia"/>
                <w:b w:val="0"/>
                <w:bCs w:val="0"/>
                <w:color w:val="auto"/>
                <w:sz w:val="24"/>
                <w:szCs w:val="24"/>
              </w:rPr>
              <w:t>，</w:t>
            </w:r>
            <w:r>
              <w:rPr>
                <w:rFonts w:hint="eastAsia"/>
                <w:b w:val="0"/>
                <w:bCs w:val="0"/>
                <w:color w:val="auto"/>
                <w:sz w:val="24"/>
                <w:szCs w:val="24"/>
                <w:lang w:val="en-US" w:eastAsia="zh-CN"/>
              </w:rPr>
              <w:t>在现有</w:t>
            </w:r>
            <w:r>
              <w:rPr>
                <w:rFonts w:hint="eastAsia"/>
                <w:b w:val="0"/>
                <w:bCs w:val="0"/>
                <w:color w:val="auto"/>
                <w:sz w:val="24"/>
                <w:szCs w:val="24"/>
              </w:rPr>
              <w:t>0.</w:t>
            </w:r>
            <w:r>
              <w:rPr>
                <w:rFonts w:hint="eastAsia"/>
                <w:b w:val="0"/>
                <w:bCs w:val="0"/>
                <w:color w:val="auto"/>
                <w:sz w:val="24"/>
                <w:szCs w:val="24"/>
                <w:lang w:val="en-US" w:eastAsia="zh-CN"/>
              </w:rPr>
              <w:t>65</w:t>
            </w:r>
            <w:r>
              <w:rPr>
                <w:rFonts w:hint="eastAsia"/>
                <w:b w:val="0"/>
                <w:bCs w:val="0"/>
                <w:color w:val="auto"/>
                <w:sz w:val="24"/>
                <w:szCs w:val="24"/>
              </w:rPr>
              <w:t>万吨</w:t>
            </w:r>
            <w:r>
              <w:rPr>
                <w:rFonts w:hint="eastAsia"/>
                <w:b w:val="0"/>
                <w:bCs w:val="0"/>
                <w:color w:val="auto"/>
                <w:sz w:val="24"/>
                <w:szCs w:val="24"/>
                <w:lang w:val="en-US" w:eastAsia="zh-CN"/>
              </w:rPr>
              <w:t>/年塑料丝生产线成丝后端增加圆织生产线</w:t>
            </w:r>
            <w:r>
              <w:rPr>
                <w:rFonts w:hint="eastAsia"/>
                <w:b w:val="0"/>
                <w:bCs w:val="0"/>
                <w:color w:val="auto"/>
                <w:sz w:val="24"/>
                <w:szCs w:val="24"/>
              </w:rPr>
              <w:t>。项目</w:t>
            </w:r>
            <w:r>
              <w:rPr>
                <w:rFonts w:hint="eastAsia"/>
                <w:b w:val="0"/>
                <w:bCs w:val="0"/>
                <w:color w:val="auto"/>
                <w:sz w:val="24"/>
                <w:szCs w:val="24"/>
                <w:lang w:val="en-US" w:eastAsia="zh-CN"/>
              </w:rPr>
              <w:t>技改</w:t>
            </w:r>
            <w:r>
              <w:rPr>
                <w:rFonts w:hint="eastAsia"/>
                <w:b w:val="0"/>
                <w:bCs w:val="0"/>
                <w:color w:val="auto"/>
                <w:sz w:val="24"/>
                <w:szCs w:val="24"/>
              </w:rPr>
              <w:t>后全厂产品规模为1.</w:t>
            </w:r>
            <w:r>
              <w:rPr>
                <w:b w:val="0"/>
                <w:bCs w:val="0"/>
                <w:color w:val="auto"/>
                <w:sz w:val="24"/>
                <w:szCs w:val="24"/>
              </w:rPr>
              <w:t>0</w:t>
            </w:r>
            <w:r>
              <w:rPr>
                <w:rFonts w:hint="eastAsia"/>
                <w:b w:val="0"/>
                <w:bCs w:val="0"/>
                <w:color w:val="auto"/>
                <w:sz w:val="24"/>
                <w:szCs w:val="24"/>
              </w:rPr>
              <w:t>万吨/年的塑料颗粒、0</w:t>
            </w:r>
            <w:r>
              <w:rPr>
                <w:b w:val="0"/>
                <w:bCs w:val="0"/>
                <w:color w:val="auto"/>
                <w:sz w:val="24"/>
                <w:szCs w:val="24"/>
              </w:rPr>
              <w:t>.</w:t>
            </w:r>
            <w:r>
              <w:rPr>
                <w:rFonts w:hint="eastAsia"/>
                <w:b w:val="0"/>
                <w:bCs w:val="0"/>
                <w:color w:val="auto"/>
                <w:sz w:val="24"/>
                <w:szCs w:val="24"/>
                <w:lang w:val="en-US" w:eastAsia="zh-CN"/>
              </w:rPr>
              <w:t>65</w:t>
            </w:r>
            <w:r>
              <w:rPr>
                <w:rFonts w:hint="eastAsia"/>
                <w:b w:val="0"/>
                <w:bCs w:val="0"/>
                <w:color w:val="auto"/>
                <w:sz w:val="24"/>
                <w:szCs w:val="24"/>
              </w:rPr>
              <w:t>万吨/年的塑料编</w:t>
            </w:r>
            <w:r>
              <w:rPr>
                <w:rFonts w:hint="eastAsia"/>
                <w:b w:val="0"/>
                <w:bCs w:val="0"/>
                <w:color w:val="auto"/>
                <w:sz w:val="24"/>
                <w:szCs w:val="24"/>
                <w:lang w:val="en-US" w:eastAsia="zh-CN"/>
              </w:rPr>
              <w:t>织布</w:t>
            </w:r>
            <w:r>
              <w:rPr>
                <w:b w:val="0"/>
                <w:bCs w:val="0"/>
                <w:color w:val="auto"/>
                <w:sz w:val="24"/>
                <w:szCs w:val="24"/>
              </w:rPr>
              <w:t>。</w:t>
            </w:r>
            <w:r>
              <w:rPr>
                <w:rFonts w:hint="eastAsia"/>
                <w:b w:val="0"/>
                <w:bCs w:val="0"/>
                <w:color w:val="auto"/>
                <w:sz w:val="24"/>
                <w:szCs w:val="24"/>
                <w:lang w:val="en-US" w:eastAsia="zh-CN"/>
              </w:rPr>
              <w:t>同时，根据现行环保规定，取消烧网工序。</w:t>
            </w:r>
            <w:r>
              <w:rPr>
                <w:rFonts w:hint="eastAsia"/>
                <w:b w:val="0"/>
                <w:bCs w:val="0"/>
                <w:color w:val="auto"/>
                <w:kern w:val="0"/>
                <w:sz w:val="24"/>
                <w:szCs w:val="24"/>
                <w:lang w:eastAsia="zh-CN"/>
              </w:rPr>
              <w:t>项目减少一条塑料颗粒生产线</w:t>
            </w:r>
            <w:r>
              <w:rPr>
                <w:rFonts w:hint="eastAsia"/>
                <w:b w:val="0"/>
                <w:bCs w:val="0"/>
                <w:color w:val="auto"/>
                <w:kern w:val="0"/>
                <w:sz w:val="24"/>
                <w:szCs w:val="24"/>
                <w:lang w:val="en-US" w:eastAsia="zh-CN"/>
              </w:rPr>
              <w:t>及取消烧网工序</w:t>
            </w:r>
            <w:r>
              <w:rPr>
                <w:rFonts w:hint="eastAsia"/>
                <w:b w:val="0"/>
                <w:bCs w:val="0"/>
                <w:color w:val="auto"/>
                <w:kern w:val="0"/>
                <w:sz w:val="24"/>
                <w:szCs w:val="24"/>
                <w:lang w:eastAsia="zh-CN"/>
              </w:rPr>
              <w:t>，生产用水</w:t>
            </w:r>
            <w:r>
              <w:rPr>
                <w:rFonts w:hint="eastAsia"/>
                <w:b w:val="0"/>
                <w:bCs w:val="0"/>
                <w:color w:val="auto"/>
                <w:kern w:val="0"/>
                <w:sz w:val="24"/>
                <w:szCs w:val="24"/>
                <w:lang w:val="en-US" w:eastAsia="zh-CN"/>
              </w:rPr>
              <w:t>减少，废气产生量减少</w:t>
            </w:r>
            <w:r>
              <w:rPr>
                <w:rFonts w:hint="eastAsia"/>
                <w:b w:val="0"/>
                <w:bCs w:val="0"/>
                <w:color w:val="auto"/>
                <w:kern w:val="0"/>
                <w:sz w:val="24"/>
                <w:szCs w:val="24"/>
                <w:lang w:eastAsia="zh-CN"/>
              </w:rPr>
              <w:t>。项目</w:t>
            </w:r>
            <w:r>
              <w:rPr>
                <w:rFonts w:hint="eastAsia"/>
                <w:b w:val="0"/>
                <w:bCs w:val="0"/>
                <w:color w:val="auto"/>
                <w:kern w:val="0"/>
                <w:sz w:val="24"/>
                <w:szCs w:val="24"/>
                <w:lang w:val="en-US" w:eastAsia="zh-CN"/>
              </w:rPr>
              <w:t>新增圆织机150台，劳动</w:t>
            </w:r>
            <w:r>
              <w:rPr>
                <w:rFonts w:hint="eastAsia"/>
                <w:b w:val="0"/>
                <w:bCs w:val="0"/>
                <w:color w:val="auto"/>
                <w:kern w:val="0"/>
                <w:sz w:val="24"/>
                <w:szCs w:val="24"/>
                <w:lang w:eastAsia="zh-CN"/>
              </w:rPr>
              <w:t>定员</w:t>
            </w:r>
            <w:r>
              <w:rPr>
                <w:rFonts w:hint="eastAsia"/>
                <w:b w:val="0"/>
                <w:bCs w:val="0"/>
                <w:color w:val="auto"/>
                <w:kern w:val="0"/>
                <w:sz w:val="24"/>
                <w:szCs w:val="24"/>
                <w:lang w:val="en-US" w:eastAsia="zh-CN"/>
              </w:rPr>
              <w:t>增加</w:t>
            </w:r>
            <w:r>
              <w:rPr>
                <w:rFonts w:hint="eastAsia"/>
                <w:b w:val="0"/>
                <w:bCs w:val="0"/>
                <w:color w:val="auto"/>
                <w:kern w:val="0"/>
                <w:sz w:val="24"/>
                <w:szCs w:val="24"/>
                <w:lang w:eastAsia="zh-CN"/>
              </w:rPr>
              <w:t>，生活污水、</w:t>
            </w:r>
            <w:r>
              <w:rPr>
                <w:rFonts w:hint="eastAsia"/>
                <w:b w:val="0"/>
                <w:bCs w:val="0"/>
                <w:color w:val="auto"/>
                <w:kern w:val="0"/>
                <w:sz w:val="24"/>
                <w:szCs w:val="24"/>
                <w:lang w:val="en-US" w:eastAsia="zh-CN"/>
              </w:rPr>
              <w:t>生活垃圾</w:t>
            </w:r>
            <w:r>
              <w:rPr>
                <w:rFonts w:hint="eastAsia"/>
                <w:b w:val="0"/>
                <w:bCs w:val="0"/>
                <w:color w:val="auto"/>
                <w:kern w:val="0"/>
                <w:sz w:val="24"/>
                <w:szCs w:val="24"/>
                <w:lang w:eastAsia="zh-CN"/>
              </w:rPr>
              <w:t>产生排放量</w:t>
            </w:r>
            <w:r>
              <w:rPr>
                <w:rFonts w:hint="eastAsia"/>
                <w:b w:val="0"/>
                <w:bCs w:val="0"/>
                <w:color w:val="auto"/>
                <w:kern w:val="0"/>
                <w:sz w:val="24"/>
                <w:szCs w:val="24"/>
                <w:lang w:val="en-US" w:eastAsia="zh-CN"/>
              </w:rPr>
              <w:t>增加</w:t>
            </w:r>
            <w:r>
              <w:rPr>
                <w:rFonts w:hint="eastAsia"/>
                <w:b w:val="0"/>
                <w:bCs w:val="0"/>
                <w:color w:val="auto"/>
                <w:kern w:val="0"/>
                <w:sz w:val="24"/>
                <w:szCs w:val="24"/>
                <w:lang w:eastAsia="zh-CN"/>
              </w:rPr>
              <w:t>。</w:t>
            </w:r>
            <w:r>
              <w:rPr>
                <w:rFonts w:hint="eastAsia"/>
                <w:b w:val="0"/>
                <w:bCs w:val="0"/>
                <w:color w:val="auto"/>
                <w:kern w:val="0"/>
                <w:sz w:val="24"/>
                <w:szCs w:val="24"/>
              </w:rPr>
              <w:t>营运期产生的废气、</w:t>
            </w:r>
            <w:r>
              <w:rPr>
                <w:rFonts w:hint="eastAsia"/>
                <w:b w:val="0"/>
                <w:bCs w:val="0"/>
                <w:color w:val="auto"/>
                <w:kern w:val="0"/>
                <w:sz w:val="24"/>
                <w:szCs w:val="24"/>
                <w:lang w:val="en-US" w:eastAsia="zh-CN"/>
              </w:rPr>
              <w:t>废水、</w:t>
            </w:r>
            <w:r>
              <w:rPr>
                <w:rFonts w:hint="eastAsia"/>
                <w:b w:val="0"/>
                <w:bCs w:val="0"/>
                <w:color w:val="auto"/>
                <w:kern w:val="0"/>
                <w:sz w:val="24"/>
                <w:szCs w:val="24"/>
              </w:rPr>
              <w:t>固废均依托现有环保设施进行治理。</w:t>
            </w:r>
          </w:p>
          <w:p>
            <w:pPr>
              <w:keepNext w:val="0"/>
              <w:keepLines w:val="0"/>
              <w:pageBreakBefore w:val="0"/>
              <w:widowControl w:val="0"/>
              <w:kinsoku/>
              <w:wordWrap/>
              <w:overflowPunct/>
              <w:topLinePunct w:val="0"/>
              <w:bidi w:val="0"/>
              <w:adjustRightInd/>
              <w:snapToGrid/>
              <w:spacing w:line="360" w:lineRule="auto"/>
              <w:ind w:firstLine="482" w:firstLineChars="200"/>
              <w:textAlignment w:val="auto"/>
              <w:rPr>
                <w:b/>
                <w:bCs w:val="0"/>
                <w:color w:val="auto"/>
                <w:kern w:val="0"/>
                <w:sz w:val="24"/>
                <w:szCs w:val="24"/>
              </w:rPr>
            </w:pPr>
            <w:r>
              <w:rPr>
                <w:rFonts w:hint="eastAsia"/>
                <w:b/>
                <w:bCs w:val="0"/>
                <w:color w:val="auto"/>
                <w:kern w:val="0"/>
                <w:sz w:val="24"/>
                <w:szCs w:val="24"/>
                <w:lang w:val="en-US" w:eastAsia="zh-CN"/>
              </w:rPr>
              <w:t>1</w:t>
            </w:r>
            <w:r>
              <w:rPr>
                <w:rFonts w:hint="eastAsia"/>
                <w:b/>
                <w:bCs w:val="0"/>
                <w:color w:val="auto"/>
                <w:kern w:val="0"/>
                <w:sz w:val="24"/>
                <w:szCs w:val="24"/>
                <w:lang w:eastAsia="zh-CN"/>
              </w:rPr>
              <w:t>、废气</w:t>
            </w:r>
          </w:p>
          <w:p>
            <w:pPr>
              <w:pStyle w:val="81"/>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eastAsia" w:eastAsia="宋体"/>
                <w:b/>
                <w:bCs w:val="0"/>
                <w:color w:val="auto"/>
                <w:sz w:val="24"/>
                <w:szCs w:val="24"/>
                <w:lang w:eastAsia="zh-CN"/>
              </w:rPr>
            </w:pPr>
            <w:r>
              <w:rPr>
                <w:rFonts w:hint="eastAsia"/>
                <w:b/>
                <w:bCs w:val="0"/>
                <w:color w:val="auto"/>
                <w:sz w:val="24"/>
                <w:szCs w:val="24"/>
                <w:lang w:eastAsia="zh-CN"/>
              </w:rPr>
              <w:t>（</w:t>
            </w:r>
            <w:r>
              <w:rPr>
                <w:rFonts w:hint="eastAsia"/>
                <w:b/>
                <w:bCs w:val="0"/>
                <w:color w:val="auto"/>
                <w:sz w:val="24"/>
                <w:szCs w:val="24"/>
                <w:lang w:val="en-US" w:eastAsia="zh-CN"/>
              </w:rPr>
              <w:t>1</w:t>
            </w:r>
            <w:r>
              <w:rPr>
                <w:rFonts w:hint="eastAsia"/>
                <w:b/>
                <w:bCs w:val="0"/>
                <w:color w:val="auto"/>
                <w:sz w:val="24"/>
                <w:szCs w:val="24"/>
                <w:lang w:eastAsia="zh-CN"/>
              </w:rPr>
              <w:t>）</w:t>
            </w:r>
            <w:r>
              <w:rPr>
                <w:rFonts w:hint="default"/>
                <w:b/>
                <w:bCs w:val="0"/>
                <w:color w:val="auto"/>
                <w:sz w:val="24"/>
                <w:szCs w:val="24"/>
                <w:lang w:val="en-US" w:eastAsia="zh-CN"/>
              </w:rPr>
              <w:t>污染物源强计算及治理措施</w:t>
            </w:r>
          </w:p>
          <w:p>
            <w:pPr>
              <w:pStyle w:val="81"/>
              <w:keepNext w:val="0"/>
              <w:keepLines w:val="0"/>
              <w:pageBreakBefore w:val="0"/>
              <w:kinsoku/>
              <w:wordWrap/>
              <w:overflowPunct/>
              <w:topLinePunct w:val="0"/>
              <w:bidi w:val="0"/>
              <w:adjustRightInd/>
              <w:spacing w:line="360" w:lineRule="auto"/>
              <w:ind w:left="0" w:leftChars="0" w:firstLine="480" w:firstLineChars="200"/>
              <w:textAlignment w:val="auto"/>
              <w:rPr>
                <w:rFonts w:hint="default" w:ascii="Times New Roman" w:hAnsi="Times New Roman" w:eastAsia="宋体" w:cs="Times New Roman"/>
                <w:b w:val="0"/>
                <w:bCs/>
                <w:color w:val="auto"/>
                <w:sz w:val="24"/>
                <w:szCs w:val="24"/>
                <w:u w:val="none"/>
                <w:lang w:val="en-US" w:eastAsia="zh-CN"/>
              </w:rPr>
            </w:pPr>
            <w:r>
              <w:rPr>
                <w:rFonts w:hint="default" w:ascii="Times New Roman" w:hAnsi="Times New Roman" w:eastAsia="宋体" w:cs="Times New Roman"/>
                <w:b w:val="0"/>
                <w:bCs/>
                <w:color w:val="auto"/>
                <w:sz w:val="24"/>
                <w:szCs w:val="24"/>
                <w:u w:val="none"/>
                <w:lang w:val="en-US" w:eastAsia="zh-CN"/>
              </w:rPr>
              <w:t>①圆织工序</w:t>
            </w:r>
          </w:p>
          <w:p>
            <w:pPr>
              <w:pStyle w:val="81"/>
              <w:keepNext w:val="0"/>
              <w:keepLines w:val="0"/>
              <w:pageBreakBefore w:val="0"/>
              <w:kinsoku/>
              <w:wordWrap/>
              <w:overflowPunct/>
              <w:topLinePunct w:val="0"/>
              <w:bidi w:val="0"/>
              <w:adjustRightInd/>
              <w:spacing w:line="360" w:lineRule="auto"/>
              <w:ind w:left="0" w:leftChars="0" w:firstLine="480" w:firstLineChars="200"/>
              <w:textAlignment w:val="auto"/>
              <w:rPr>
                <w:rFonts w:hint="default" w:ascii="Times New Roman" w:hAnsi="Times New Roman" w:eastAsia="宋体" w:cs="Times New Roman"/>
                <w:b w:val="0"/>
                <w:bCs/>
                <w:color w:val="auto"/>
                <w:sz w:val="24"/>
                <w:szCs w:val="24"/>
                <w:u w:val="none"/>
              </w:rPr>
            </w:pPr>
            <w:r>
              <w:rPr>
                <w:rFonts w:hint="default" w:ascii="Times New Roman" w:hAnsi="Times New Roman" w:eastAsia="宋体" w:cs="Times New Roman"/>
                <w:b w:val="0"/>
                <w:bCs/>
                <w:color w:val="auto"/>
                <w:sz w:val="24"/>
                <w:szCs w:val="24"/>
                <w:u w:val="none"/>
              </w:rPr>
              <w:t>本</w:t>
            </w:r>
            <w:r>
              <w:rPr>
                <w:rFonts w:hint="default" w:ascii="Times New Roman" w:hAnsi="Times New Roman" w:eastAsia="宋体" w:cs="Times New Roman"/>
                <w:b w:val="0"/>
                <w:bCs/>
                <w:color w:val="auto"/>
                <w:sz w:val="24"/>
                <w:szCs w:val="24"/>
                <w:u w:val="none"/>
                <w:lang w:val="en-US" w:eastAsia="zh-CN"/>
              </w:rPr>
              <w:t>次技改</w:t>
            </w:r>
            <w:r>
              <w:rPr>
                <w:rFonts w:hint="default" w:ascii="Times New Roman" w:hAnsi="Times New Roman" w:eastAsia="宋体" w:cs="Times New Roman"/>
                <w:b w:val="0"/>
                <w:bCs/>
                <w:color w:val="auto"/>
                <w:sz w:val="24"/>
                <w:szCs w:val="24"/>
                <w:u w:val="none"/>
              </w:rPr>
              <w:t>项目</w:t>
            </w:r>
            <w:r>
              <w:rPr>
                <w:rFonts w:hint="default" w:ascii="Times New Roman" w:hAnsi="Times New Roman" w:eastAsia="宋体" w:cs="Times New Roman"/>
                <w:b w:val="0"/>
                <w:bCs/>
                <w:color w:val="auto"/>
                <w:sz w:val="24"/>
                <w:szCs w:val="24"/>
                <w:u w:val="none"/>
                <w:lang w:val="en-US" w:eastAsia="zh-CN"/>
              </w:rPr>
              <w:t>新增</w:t>
            </w:r>
            <w:r>
              <w:rPr>
                <w:rFonts w:hint="default" w:ascii="Times New Roman" w:hAnsi="Times New Roman" w:eastAsia="宋体" w:cs="Times New Roman"/>
                <w:b w:val="0"/>
                <w:bCs/>
                <w:color w:val="auto"/>
                <w:kern w:val="0"/>
                <w:sz w:val="24"/>
                <w:szCs w:val="24"/>
                <w:u w:val="none"/>
                <w:lang w:eastAsia="zh-CN"/>
              </w:rPr>
              <w:t>圆织生产线无废气产生</w:t>
            </w:r>
            <w:r>
              <w:rPr>
                <w:rFonts w:hint="default" w:ascii="Times New Roman" w:hAnsi="Times New Roman" w:eastAsia="宋体" w:cs="Times New Roman"/>
                <w:b w:val="0"/>
                <w:bCs/>
                <w:color w:val="auto"/>
                <w:sz w:val="24"/>
                <w:szCs w:val="24"/>
                <w:u w:val="none"/>
              </w:rPr>
              <w:t>。</w:t>
            </w:r>
          </w:p>
          <w:p>
            <w:pPr>
              <w:pStyle w:val="10"/>
              <w:keepNext w:val="0"/>
              <w:keepLines w:val="0"/>
              <w:pageBreakBefore w:val="0"/>
              <w:kinsoku/>
              <w:wordWrap/>
              <w:overflowPunct/>
              <w:topLinePunct w:val="0"/>
              <w:bidi w:val="0"/>
              <w:adjustRightInd/>
              <w:spacing w:before="0" w:after="0" w:line="360" w:lineRule="auto"/>
              <w:ind w:left="0" w:leftChars="0" w:right="0" w:firstLine="480" w:firstLineChars="200"/>
              <w:textAlignment w:val="auto"/>
              <w:rPr>
                <w:rFonts w:hint="default" w:ascii="Times New Roman" w:hAnsi="Times New Roman" w:eastAsia="宋体" w:cs="Times New Roman"/>
                <w:b w:val="0"/>
                <w:bCs/>
                <w:color w:val="auto"/>
                <w:sz w:val="24"/>
                <w:szCs w:val="24"/>
                <w:u w:val="none"/>
                <w:lang w:val="en-US" w:eastAsia="zh-CN"/>
              </w:rPr>
            </w:pPr>
            <w:r>
              <w:rPr>
                <w:rFonts w:hint="default" w:ascii="Times New Roman" w:hAnsi="Times New Roman" w:eastAsia="宋体" w:cs="Times New Roman"/>
                <w:b w:val="0"/>
                <w:bCs/>
                <w:color w:val="auto"/>
                <w:sz w:val="24"/>
                <w:szCs w:val="24"/>
                <w:u w:val="none"/>
                <w:lang w:val="en-US" w:eastAsia="zh-CN"/>
              </w:rPr>
              <w:t>②烧网工序</w:t>
            </w:r>
          </w:p>
          <w:p>
            <w:pPr>
              <w:keepNext w:val="0"/>
              <w:keepLines w:val="0"/>
              <w:pageBreakBefore w:val="0"/>
              <w:kinsoku/>
              <w:wordWrap/>
              <w:overflowPunct/>
              <w:topLinePunct w:val="0"/>
              <w:bidi w:val="0"/>
              <w:adjustRightInd/>
              <w:spacing w:line="360" w:lineRule="auto"/>
              <w:ind w:left="0" w:leftChars="0" w:firstLine="480" w:firstLineChars="200"/>
              <w:textAlignment w:val="auto"/>
              <w:rPr>
                <w:rFonts w:hint="default" w:ascii="Times New Roman" w:hAnsi="Times New Roman" w:eastAsia="宋体" w:cs="Times New Roman"/>
                <w:b w:val="0"/>
                <w:bCs/>
                <w:color w:val="auto"/>
                <w:sz w:val="24"/>
                <w:szCs w:val="24"/>
                <w:u w:val="none"/>
                <w:lang w:val="en-US" w:eastAsia="zh-CN"/>
              </w:rPr>
            </w:pPr>
            <w:r>
              <w:rPr>
                <w:rFonts w:hint="default" w:ascii="Times New Roman" w:hAnsi="Times New Roman" w:eastAsia="宋体" w:cs="Times New Roman"/>
                <w:b w:val="0"/>
                <w:bCs/>
                <w:color w:val="auto"/>
                <w:sz w:val="24"/>
                <w:szCs w:val="24"/>
                <w:u w:val="none"/>
                <w:lang w:val="en-US" w:eastAsia="zh-CN"/>
              </w:rPr>
              <w:t>由于本次技改取消烧网工序，故烧网废气不再产生。根据《</w:t>
            </w:r>
            <w:r>
              <w:rPr>
                <w:rFonts w:hint="default" w:ascii="Times New Roman" w:hAnsi="Times New Roman" w:eastAsia="宋体" w:cs="Times New Roman"/>
                <w:b w:val="0"/>
                <w:bCs/>
                <w:color w:val="auto"/>
                <w:sz w:val="24"/>
                <w:szCs w:val="24"/>
                <w:u w:val="none"/>
              </w:rPr>
              <w:t>乐山图南再生资源回收利用有限公司新建年产3万吨塑料颗粒项目</w:t>
            </w:r>
            <w:r>
              <w:rPr>
                <w:rFonts w:hint="default" w:ascii="Times New Roman" w:hAnsi="Times New Roman" w:eastAsia="宋体" w:cs="Times New Roman"/>
                <w:b w:val="0"/>
                <w:bCs/>
                <w:color w:val="auto"/>
                <w:sz w:val="24"/>
                <w:szCs w:val="24"/>
                <w:u w:val="none"/>
                <w:lang w:val="en-US" w:eastAsia="zh-CN"/>
              </w:rPr>
              <w:t>环境影响评价</w:t>
            </w:r>
            <w:r>
              <w:rPr>
                <w:rFonts w:hint="default" w:ascii="Times New Roman" w:hAnsi="Times New Roman" w:eastAsia="宋体" w:cs="Times New Roman"/>
                <w:b w:val="0"/>
                <w:bCs/>
                <w:color w:val="auto"/>
                <w:sz w:val="24"/>
                <w:szCs w:val="24"/>
                <w:u w:val="none"/>
              </w:rPr>
              <w:t>补充报告</w:t>
            </w:r>
            <w:r>
              <w:rPr>
                <w:rFonts w:hint="default" w:ascii="Times New Roman" w:hAnsi="Times New Roman" w:eastAsia="宋体" w:cs="Times New Roman"/>
                <w:b w:val="0"/>
                <w:bCs/>
                <w:color w:val="auto"/>
                <w:sz w:val="24"/>
                <w:szCs w:val="24"/>
                <w:u w:val="none"/>
                <w:lang w:val="en-US" w:eastAsia="zh-CN"/>
              </w:rPr>
              <w:t>》（主要内容：</w:t>
            </w:r>
            <w:r>
              <w:rPr>
                <w:rFonts w:hint="default" w:ascii="Times New Roman" w:hAnsi="Times New Roman" w:eastAsia="宋体" w:cs="Times New Roman"/>
                <w:b w:val="0"/>
                <w:bCs/>
                <w:color w:val="auto"/>
                <w:sz w:val="24"/>
                <w:szCs w:val="24"/>
                <w:u w:val="none"/>
              </w:rPr>
              <w:t>新增烧网工艺对原废过滤网进行处理</w:t>
            </w:r>
            <w:r>
              <w:rPr>
                <w:rFonts w:hint="default" w:ascii="Times New Roman" w:hAnsi="Times New Roman" w:eastAsia="宋体" w:cs="Times New Roman"/>
                <w:b w:val="0"/>
                <w:bCs/>
                <w:color w:val="auto"/>
                <w:sz w:val="24"/>
                <w:szCs w:val="24"/>
                <w:u w:val="none"/>
                <w:lang w:val="en-US" w:eastAsia="zh-CN"/>
              </w:rPr>
              <w:t>）中源强计算可知，烧网工序有机废气排放量为0.003t/a，颗粒物排放量为0.131t/a。本次技改后，该部分废气均不再产生。</w:t>
            </w:r>
          </w:p>
          <w:p>
            <w:pPr>
              <w:pStyle w:val="29"/>
              <w:keepNext w:val="0"/>
              <w:keepLines w:val="0"/>
              <w:pageBreakBefore w:val="0"/>
              <w:kinsoku/>
              <w:wordWrap/>
              <w:overflowPunct/>
              <w:topLinePunct w:val="0"/>
              <w:bidi w:val="0"/>
              <w:adjustRightInd/>
              <w:spacing w:after="0" w:line="360" w:lineRule="auto"/>
              <w:ind w:left="0" w:leftChars="0" w:firstLine="480" w:firstLineChars="200"/>
              <w:textAlignment w:val="auto"/>
              <w:rPr>
                <w:rFonts w:hint="default" w:ascii="Times New Roman" w:hAnsi="Times New Roman" w:eastAsia="宋体" w:cs="Times New Roman"/>
                <w:b w:val="0"/>
                <w:bCs/>
                <w:color w:val="auto"/>
                <w:sz w:val="24"/>
                <w:szCs w:val="24"/>
                <w:u w:val="none"/>
                <w:lang w:val="en-US" w:eastAsia="zh-CN"/>
              </w:rPr>
            </w:pPr>
            <w:r>
              <w:rPr>
                <w:rFonts w:hint="default" w:ascii="Times New Roman" w:hAnsi="Times New Roman" w:eastAsia="宋体" w:cs="Times New Roman"/>
                <w:b w:val="0"/>
                <w:bCs/>
                <w:color w:val="auto"/>
                <w:sz w:val="24"/>
                <w:szCs w:val="24"/>
                <w:u w:val="none"/>
                <w:lang w:val="en-US" w:eastAsia="zh-CN"/>
              </w:rPr>
              <w:t>③塑料丝生产挤塑工序</w:t>
            </w:r>
          </w:p>
          <w:p>
            <w:pPr>
              <w:keepNext w:val="0"/>
              <w:keepLines w:val="0"/>
              <w:pageBreakBefore w:val="0"/>
              <w:kinsoku/>
              <w:wordWrap/>
              <w:overflowPunct/>
              <w:topLinePunct w:val="0"/>
              <w:bidi w:val="0"/>
              <w:adjustRightInd/>
              <w:spacing w:line="360" w:lineRule="auto"/>
              <w:ind w:left="0" w:leftChars="0" w:firstLine="480" w:firstLineChars="200"/>
              <w:textAlignment w:val="auto"/>
              <w:rPr>
                <w:rFonts w:hint="default" w:ascii="Times New Roman" w:hAnsi="Times New Roman" w:eastAsia="宋体" w:cs="Times New Roman"/>
                <w:b w:val="0"/>
                <w:bCs/>
                <w:color w:val="auto"/>
                <w:sz w:val="24"/>
                <w:szCs w:val="24"/>
                <w:u w:val="none"/>
                <w:lang w:val="en-US" w:eastAsia="zh-CN"/>
              </w:rPr>
            </w:pPr>
            <w:r>
              <w:rPr>
                <w:rFonts w:hint="default" w:ascii="Times New Roman" w:hAnsi="Times New Roman" w:eastAsia="宋体" w:cs="Times New Roman"/>
                <w:b w:val="0"/>
                <w:bCs/>
                <w:color w:val="auto"/>
                <w:sz w:val="24"/>
                <w:szCs w:val="24"/>
                <w:u w:val="none"/>
                <w:lang w:val="en-US" w:eastAsia="zh-CN"/>
              </w:rPr>
              <w:t>由于本次技改塑料丝全部使用新料进行生产，前端造粒工序取消，故塑料丝生产挤塑废气不再产生。根据《</w:t>
            </w:r>
            <w:r>
              <w:rPr>
                <w:rFonts w:hint="default" w:ascii="Times New Roman" w:hAnsi="Times New Roman" w:eastAsia="宋体" w:cs="Times New Roman"/>
                <w:b w:val="0"/>
                <w:bCs/>
                <w:color w:val="auto"/>
                <w:sz w:val="24"/>
                <w:szCs w:val="24"/>
                <w:u w:val="none"/>
              </w:rPr>
              <w:t>乐山图南再生资源回收利用有限公司废旧塑料加工生产线技改项</w:t>
            </w:r>
            <w:r>
              <w:rPr>
                <w:rFonts w:hint="default" w:ascii="Times New Roman" w:hAnsi="Times New Roman" w:eastAsia="宋体" w:cs="Times New Roman"/>
                <w:b w:val="0"/>
                <w:bCs/>
                <w:color w:val="auto"/>
                <w:sz w:val="24"/>
                <w:szCs w:val="24"/>
                <w:u w:val="none"/>
                <w:lang w:val="en-US" w:eastAsia="zh-CN"/>
              </w:rPr>
              <w:t>环境影响评价</w:t>
            </w:r>
            <w:r>
              <w:rPr>
                <w:rFonts w:hint="default" w:ascii="Times New Roman" w:hAnsi="Times New Roman" w:eastAsia="宋体" w:cs="Times New Roman"/>
                <w:b w:val="0"/>
                <w:bCs/>
                <w:color w:val="auto"/>
                <w:sz w:val="24"/>
                <w:szCs w:val="24"/>
                <w:u w:val="none"/>
              </w:rPr>
              <w:t>报告</w:t>
            </w:r>
            <w:r>
              <w:rPr>
                <w:rFonts w:hint="default" w:ascii="Times New Roman" w:hAnsi="Times New Roman" w:eastAsia="宋体" w:cs="Times New Roman"/>
                <w:b w:val="0"/>
                <w:bCs/>
                <w:color w:val="auto"/>
                <w:sz w:val="24"/>
                <w:szCs w:val="24"/>
                <w:u w:val="none"/>
                <w:lang w:val="en-US" w:eastAsia="zh-CN"/>
              </w:rPr>
              <w:t>》（主要内容：建设</w:t>
            </w:r>
            <w:r>
              <w:rPr>
                <w:rFonts w:hint="default" w:ascii="Times New Roman" w:hAnsi="Times New Roman" w:eastAsia="宋体" w:cs="Times New Roman"/>
                <w:b w:val="0"/>
                <w:bCs/>
                <w:color w:val="auto"/>
                <w:sz w:val="24"/>
                <w:szCs w:val="24"/>
                <w:u w:val="none"/>
              </w:rPr>
              <w:t>1条塑料丝生产线</w:t>
            </w:r>
            <w:r>
              <w:rPr>
                <w:rFonts w:hint="default" w:ascii="Times New Roman" w:hAnsi="Times New Roman" w:eastAsia="宋体" w:cs="Times New Roman"/>
                <w:b w:val="0"/>
                <w:bCs/>
                <w:color w:val="auto"/>
                <w:sz w:val="24"/>
                <w:szCs w:val="24"/>
                <w:u w:val="none"/>
                <w:lang w:val="en-US" w:eastAsia="zh-CN"/>
              </w:rPr>
              <w:t>）中源强计算可知，</w:t>
            </w:r>
            <w:r>
              <w:rPr>
                <w:rFonts w:hint="default" w:ascii="Times New Roman" w:hAnsi="Times New Roman" w:eastAsia="宋体" w:cs="Times New Roman"/>
                <w:b w:val="0"/>
                <w:bCs/>
                <w:color w:val="auto"/>
                <w:sz w:val="24"/>
                <w:szCs w:val="24"/>
                <w:u w:val="none"/>
              </w:rPr>
              <w:t>挤出造粒工序颗粒物</w:t>
            </w:r>
            <w:r>
              <w:rPr>
                <w:rFonts w:hint="default" w:ascii="Times New Roman" w:hAnsi="Times New Roman" w:eastAsia="宋体" w:cs="Times New Roman"/>
                <w:b w:val="0"/>
                <w:bCs/>
                <w:color w:val="auto"/>
                <w:sz w:val="24"/>
                <w:szCs w:val="24"/>
                <w:u w:val="none"/>
                <w:lang w:val="en-US" w:eastAsia="zh-CN"/>
              </w:rPr>
              <w:t>排放量</w:t>
            </w:r>
            <w:r>
              <w:rPr>
                <w:rFonts w:hint="default" w:ascii="Times New Roman" w:hAnsi="Times New Roman" w:eastAsia="宋体" w:cs="Times New Roman"/>
                <w:b w:val="0"/>
                <w:bCs/>
                <w:color w:val="auto"/>
                <w:sz w:val="24"/>
                <w:szCs w:val="24"/>
                <w:u w:val="none"/>
              </w:rPr>
              <w:t>为0.</w:t>
            </w:r>
            <w:r>
              <w:rPr>
                <w:rFonts w:hint="default" w:ascii="Times New Roman" w:hAnsi="Times New Roman" w:eastAsia="宋体" w:cs="Times New Roman"/>
                <w:b w:val="0"/>
                <w:bCs/>
                <w:color w:val="auto"/>
                <w:sz w:val="24"/>
                <w:szCs w:val="24"/>
                <w:u w:val="none"/>
                <w:lang w:val="en-US" w:eastAsia="zh-CN"/>
              </w:rPr>
              <w:t>035</w:t>
            </w:r>
            <w:r>
              <w:rPr>
                <w:rFonts w:hint="default" w:ascii="Times New Roman" w:hAnsi="Times New Roman" w:eastAsia="宋体" w:cs="Times New Roman"/>
                <w:b w:val="0"/>
                <w:bCs/>
                <w:color w:val="auto"/>
                <w:sz w:val="24"/>
                <w:szCs w:val="24"/>
                <w:u w:val="none"/>
              </w:rPr>
              <w:t>t/a，</w:t>
            </w:r>
            <w:r>
              <w:rPr>
                <w:rFonts w:hint="default" w:ascii="Times New Roman" w:hAnsi="Times New Roman" w:eastAsia="宋体" w:cs="Times New Roman"/>
                <w:b w:val="0"/>
                <w:bCs/>
                <w:color w:val="auto"/>
                <w:sz w:val="24"/>
                <w:szCs w:val="24"/>
                <w:u w:val="none"/>
                <w:lang w:val="en-US" w:eastAsia="zh-CN"/>
              </w:rPr>
              <w:t>有机废气排放量</w:t>
            </w:r>
            <w:r>
              <w:rPr>
                <w:rFonts w:hint="default" w:ascii="Times New Roman" w:hAnsi="Times New Roman" w:eastAsia="宋体" w:cs="Times New Roman"/>
                <w:b w:val="0"/>
                <w:bCs/>
                <w:color w:val="auto"/>
                <w:sz w:val="24"/>
                <w:szCs w:val="24"/>
                <w:u w:val="none"/>
              </w:rPr>
              <w:t>为</w:t>
            </w:r>
            <w:r>
              <w:rPr>
                <w:rFonts w:hint="default" w:ascii="Times New Roman" w:hAnsi="Times New Roman" w:eastAsia="宋体" w:cs="Times New Roman"/>
                <w:b w:val="0"/>
                <w:bCs/>
                <w:color w:val="auto"/>
                <w:sz w:val="24"/>
                <w:szCs w:val="24"/>
                <w:u w:val="none"/>
                <w:lang w:val="en-US" w:eastAsia="zh-CN"/>
              </w:rPr>
              <w:t>0.351</w:t>
            </w:r>
            <w:r>
              <w:rPr>
                <w:rFonts w:hint="default" w:ascii="Times New Roman" w:hAnsi="Times New Roman" w:eastAsia="宋体" w:cs="Times New Roman"/>
                <w:b w:val="0"/>
                <w:bCs/>
                <w:color w:val="auto"/>
                <w:sz w:val="24"/>
                <w:szCs w:val="24"/>
                <w:u w:val="none"/>
              </w:rPr>
              <w:t>t/a</w:t>
            </w:r>
            <w:r>
              <w:rPr>
                <w:rFonts w:hint="default" w:ascii="Times New Roman" w:hAnsi="Times New Roman" w:eastAsia="宋体" w:cs="Times New Roman"/>
                <w:b w:val="0"/>
                <w:bCs/>
                <w:color w:val="auto"/>
                <w:sz w:val="24"/>
                <w:szCs w:val="24"/>
                <w:u w:val="none"/>
                <w:lang w:val="en-US" w:eastAsia="zh-CN"/>
              </w:rPr>
              <w:t>.。本次技改后，改部分废气不再产生。</w:t>
            </w:r>
          </w:p>
          <w:p>
            <w:pPr>
              <w:pStyle w:val="29"/>
              <w:keepNext w:val="0"/>
              <w:keepLines w:val="0"/>
              <w:pageBreakBefore w:val="0"/>
              <w:kinsoku/>
              <w:wordWrap/>
              <w:overflowPunct/>
              <w:topLinePunct w:val="0"/>
              <w:bidi w:val="0"/>
              <w:adjustRightInd/>
              <w:spacing w:after="0" w:line="360" w:lineRule="auto"/>
              <w:ind w:left="0" w:leftChars="0" w:firstLine="480" w:firstLineChars="200"/>
              <w:textAlignment w:val="auto"/>
              <w:rPr>
                <w:rFonts w:hint="default" w:ascii="Times New Roman" w:hAnsi="Times New Roman" w:eastAsia="宋体" w:cs="Times New Roman"/>
                <w:b w:val="0"/>
                <w:bCs/>
                <w:color w:val="auto"/>
                <w:sz w:val="24"/>
                <w:szCs w:val="24"/>
                <w:u w:val="none"/>
                <w:lang w:val="en-US" w:eastAsia="zh-CN"/>
              </w:rPr>
            </w:pPr>
            <w:r>
              <w:rPr>
                <w:rFonts w:hint="default" w:ascii="Times New Roman" w:hAnsi="Times New Roman" w:eastAsia="宋体" w:cs="Times New Roman"/>
                <w:b w:val="0"/>
                <w:bCs/>
                <w:color w:val="auto"/>
                <w:sz w:val="24"/>
                <w:szCs w:val="24"/>
                <w:u w:val="none"/>
                <w:lang w:val="en-US" w:eastAsia="zh-CN"/>
              </w:rPr>
              <w:t>④塑料丝生产拉丝工序</w:t>
            </w:r>
          </w:p>
          <w:p>
            <w:pPr>
              <w:keepNext w:val="0"/>
              <w:keepLines w:val="0"/>
              <w:pageBreakBefore w:val="0"/>
              <w:kinsoku/>
              <w:wordWrap/>
              <w:overflowPunct/>
              <w:topLinePunct w:val="0"/>
              <w:bidi w:val="0"/>
              <w:adjustRightInd/>
              <w:spacing w:line="360" w:lineRule="auto"/>
              <w:ind w:left="0" w:leftChars="0" w:firstLine="480" w:firstLineChars="200"/>
              <w:textAlignment w:val="auto"/>
              <w:rPr>
                <w:rFonts w:hint="default" w:ascii="Times New Roman" w:hAnsi="Times New Roman" w:eastAsia="宋体" w:cs="Times New Roman"/>
                <w:b w:val="0"/>
                <w:bCs/>
                <w:color w:val="auto"/>
                <w:sz w:val="24"/>
                <w:szCs w:val="24"/>
                <w:u w:val="none"/>
                <w:lang w:val="en-US" w:eastAsia="zh-CN"/>
              </w:rPr>
            </w:pPr>
            <w:r>
              <w:rPr>
                <w:rFonts w:hint="default" w:ascii="Times New Roman" w:hAnsi="Times New Roman" w:eastAsia="宋体" w:cs="Times New Roman"/>
                <w:b w:val="0"/>
                <w:bCs/>
                <w:color w:val="auto"/>
                <w:sz w:val="24"/>
                <w:szCs w:val="24"/>
                <w:u w:val="none"/>
                <w:lang w:val="en-US" w:eastAsia="zh-CN"/>
              </w:rPr>
              <w:t>根据《</w:t>
            </w:r>
            <w:r>
              <w:rPr>
                <w:rFonts w:hint="default" w:ascii="Times New Roman" w:hAnsi="Times New Roman" w:eastAsia="宋体" w:cs="Times New Roman"/>
                <w:b w:val="0"/>
                <w:bCs/>
                <w:color w:val="auto"/>
                <w:sz w:val="24"/>
                <w:szCs w:val="24"/>
                <w:u w:val="none"/>
              </w:rPr>
              <w:t>有限公司废旧塑料加工生产线技改项</w:t>
            </w:r>
            <w:r>
              <w:rPr>
                <w:rFonts w:hint="default" w:ascii="Times New Roman" w:hAnsi="Times New Roman" w:eastAsia="宋体" w:cs="Times New Roman"/>
                <w:b w:val="0"/>
                <w:bCs/>
                <w:color w:val="auto"/>
                <w:sz w:val="24"/>
                <w:szCs w:val="24"/>
                <w:u w:val="none"/>
                <w:lang w:val="en-US" w:eastAsia="zh-CN"/>
              </w:rPr>
              <w:t>环境影响评价</w:t>
            </w:r>
            <w:r>
              <w:rPr>
                <w:rFonts w:hint="default" w:ascii="Times New Roman" w:hAnsi="Times New Roman" w:eastAsia="宋体" w:cs="Times New Roman"/>
                <w:b w:val="0"/>
                <w:bCs/>
                <w:color w:val="auto"/>
                <w:sz w:val="24"/>
                <w:szCs w:val="24"/>
                <w:u w:val="none"/>
              </w:rPr>
              <w:t>报告</w:t>
            </w:r>
            <w:r>
              <w:rPr>
                <w:rFonts w:hint="default" w:ascii="Times New Roman" w:hAnsi="Times New Roman" w:eastAsia="宋体" w:cs="Times New Roman"/>
                <w:b w:val="0"/>
                <w:bCs/>
                <w:color w:val="auto"/>
                <w:sz w:val="24"/>
                <w:szCs w:val="24"/>
                <w:u w:val="none"/>
                <w:lang w:val="en-US" w:eastAsia="zh-CN"/>
              </w:rPr>
              <w:t>》（主要内容：建设</w:t>
            </w:r>
            <w:r>
              <w:rPr>
                <w:rFonts w:hint="default" w:ascii="Times New Roman" w:hAnsi="Times New Roman" w:eastAsia="宋体" w:cs="Times New Roman"/>
                <w:b w:val="0"/>
                <w:bCs/>
                <w:color w:val="auto"/>
                <w:sz w:val="24"/>
                <w:szCs w:val="24"/>
                <w:u w:val="none"/>
              </w:rPr>
              <w:t>1条塑料丝生产线</w:t>
            </w:r>
            <w:r>
              <w:rPr>
                <w:rFonts w:hint="default" w:ascii="Times New Roman" w:hAnsi="Times New Roman" w:eastAsia="宋体" w:cs="Times New Roman"/>
                <w:b w:val="0"/>
                <w:bCs/>
                <w:color w:val="auto"/>
                <w:sz w:val="24"/>
                <w:szCs w:val="24"/>
                <w:u w:val="none"/>
                <w:lang w:val="en-US" w:eastAsia="zh-CN"/>
              </w:rPr>
              <w:t>）中源强计算可知，拉丝</w:t>
            </w:r>
            <w:r>
              <w:rPr>
                <w:rFonts w:hint="default" w:ascii="Times New Roman" w:hAnsi="Times New Roman" w:eastAsia="宋体" w:cs="Times New Roman"/>
                <w:b w:val="0"/>
                <w:bCs/>
                <w:color w:val="auto"/>
                <w:sz w:val="24"/>
                <w:szCs w:val="24"/>
                <w:u w:val="none"/>
              </w:rPr>
              <w:t>工序</w:t>
            </w:r>
            <w:r>
              <w:rPr>
                <w:rFonts w:hint="default" w:ascii="Times New Roman" w:hAnsi="Times New Roman" w:eastAsia="宋体" w:cs="Times New Roman"/>
                <w:b w:val="0"/>
                <w:bCs/>
                <w:color w:val="auto"/>
                <w:sz w:val="24"/>
                <w:szCs w:val="24"/>
                <w:u w:val="none"/>
                <w:lang w:val="en-US" w:eastAsia="zh-CN"/>
              </w:rPr>
              <w:t>有机废气排放量</w:t>
            </w:r>
            <w:r>
              <w:rPr>
                <w:rFonts w:hint="default" w:ascii="Times New Roman" w:hAnsi="Times New Roman" w:eastAsia="宋体" w:cs="Times New Roman"/>
                <w:b w:val="0"/>
                <w:bCs/>
                <w:color w:val="auto"/>
                <w:sz w:val="24"/>
                <w:szCs w:val="24"/>
                <w:u w:val="none"/>
              </w:rPr>
              <w:t>为</w:t>
            </w:r>
            <w:r>
              <w:rPr>
                <w:rFonts w:hint="default" w:ascii="Times New Roman" w:hAnsi="Times New Roman" w:eastAsia="宋体" w:cs="Times New Roman"/>
                <w:b w:val="0"/>
                <w:bCs/>
                <w:color w:val="auto"/>
                <w:sz w:val="24"/>
                <w:szCs w:val="24"/>
                <w:u w:val="none"/>
                <w:lang w:val="en-US" w:eastAsia="zh-CN"/>
              </w:rPr>
              <w:t>0.424</w:t>
            </w:r>
            <w:r>
              <w:rPr>
                <w:rFonts w:hint="default" w:ascii="Times New Roman" w:hAnsi="Times New Roman" w:eastAsia="宋体" w:cs="Times New Roman"/>
                <w:b w:val="0"/>
                <w:bCs/>
                <w:color w:val="auto"/>
                <w:sz w:val="24"/>
                <w:szCs w:val="24"/>
                <w:u w:val="none"/>
              </w:rPr>
              <w:t>t/a</w:t>
            </w:r>
            <w:r>
              <w:rPr>
                <w:rFonts w:hint="default" w:ascii="Times New Roman" w:hAnsi="Times New Roman" w:eastAsia="宋体" w:cs="Times New Roman"/>
                <w:b w:val="0"/>
                <w:bCs/>
                <w:color w:val="auto"/>
                <w:sz w:val="24"/>
                <w:szCs w:val="24"/>
                <w:u w:val="none"/>
                <w:lang w:val="en-US" w:eastAsia="zh-CN"/>
              </w:rPr>
              <w:t>.。</w:t>
            </w:r>
          </w:p>
          <w:p>
            <w:pPr>
              <w:pStyle w:val="29"/>
              <w:keepNext w:val="0"/>
              <w:keepLines w:val="0"/>
              <w:pageBreakBefore w:val="0"/>
              <w:kinsoku/>
              <w:wordWrap/>
              <w:overflowPunct/>
              <w:topLinePunct w:val="0"/>
              <w:bidi w:val="0"/>
              <w:adjustRightInd/>
              <w:spacing w:after="0" w:line="360" w:lineRule="auto"/>
              <w:ind w:left="0" w:leftChars="0" w:firstLine="480" w:firstLineChars="200"/>
              <w:textAlignment w:val="auto"/>
              <w:rPr>
                <w:rFonts w:hint="default" w:ascii="Times New Roman" w:hAnsi="Times New Roman" w:eastAsia="宋体" w:cs="Times New Roman"/>
                <w:b w:val="0"/>
                <w:bCs/>
                <w:color w:val="auto"/>
                <w:sz w:val="24"/>
                <w:szCs w:val="24"/>
                <w:u w:val="none"/>
                <w:lang w:val="en-US" w:eastAsia="zh-CN"/>
              </w:rPr>
            </w:pPr>
            <w:r>
              <w:rPr>
                <w:rFonts w:hint="default" w:ascii="Times New Roman" w:hAnsi="Times New Roman" w:eastAsia="宋体" w:cs="Times New Roman"/>
                <w:b w:val="0"/>
                <w:bCs/>
                <w:color w:val="auto"/>
                <w:sz w:val="24"/>
                <w:szCs w:val="24"/>
                <w:u w:val="none"/>
                <w:lang w:val="en-US" w:eastAsia="zh-CN"/>
              </w:rPr>
              <w:t>⑤塑料颗粒生产</w:t>
            </w:r>
          </w:p>
          <w:p>
            <w:pPr>
              <w:keepNext w:val="0"/>
              <w:keepLines w:val="0"/>
              <w:pageBreakBefore w:val="0"/>
              <w:kinsoku/>
              <w:wordWrap/>
              <w:overflowPunct/>
              <w:topLinePunct w:val="0"/>
              <w:bidi w:val="0"/>
              <w:adjustRightInd/>
              <w:spacing w:line="360" w:lineRule="auto"/>
              <w:ind w:left="0" w:leftChars="0" w:firstLine="480" w:firstLineChars="200"/>
              <w:textAlignment w:val="auto"/>
              <w:rPr>
                <w:rFonts w:hint="default" w:ascii="Times New Roman" w:hAnsi="Times New Roman" w:eastAsia="宋体" w:cs="Times New Roman"/>
                <w:b w:val="0"/>
                <w:bCs/>
                <w:color w:val="auto"/>
                <w:sz w:val="24"/>
                <w:szCs w:val="24"/>
                <w:u w:val="none"/>
                <w:lang w:val="en-US" w:eastAsia="zh-CN"/>
              </w:rPr>
            </w:pPr>
            <w:r>
              <w:rPr>
                <w:rFonts w:hint="default" w:ascii="Times New Roman" w:hAnsi="Times New Roman" w:eastAsia="宋体" w:cs="Times New Roman"/>
                <w:b w:val="0"/>
                <w:bCs/>
                <w:color w:val="auto"/>
                <w:sz w:val="24"/>
                <w:szCs w:val="24"/>
                <w:u w:val="none"/>
                <w:lang w:val="en-US" w:eastAsia="zh-CN"/>
              </w:rPr>
              <w:t>本次技改减少1条塑料颗粒生产线，故废气排放量相应减少1/3。根据原项目废气产生量计算可知，原项目有机废气排放量为1.71t/a，减去塑料丝生产及烧网工序产生有机废气，则原项目塑料颗粒生产线有机废气排放量为0.932t/a。同理，原项目塑料颗粒生产线颗粒物排放量为0.161t/a。故本次技改后，塑料颗粒生产线有机废气排放量为0.621t/a，颗粒物排放量为0.107t/a</w:t>
            </w:r>
            <w:r>
              <w:rPr>
                <w:rFonts w:hint="eastAsia" w:ascii="Times New Roman" w:hAnsi="Times New Roman" w:eastAsia="宋体" w:cs="Times New Roman"/>
                <w:b w:val="0"/>
                <w:bCs/>
                <w:color w:val="auto"/>
                <w:sz w:val="24"/>
                <w:szCs w:val="24"/>
                <w:u w:val="none"/>
                <w:lang w:val="en-US" w:eastAsia="zh-CN"/>
              </w:rPr>
              <w:t>。</w:t>
            </w:r>
          </w:p>
          <w:p>
            <w:pPr>
              <w:pStyle w:val="10"/>
              <w:spacing w:before="0" w:after="0" w:line="360" w:lineRule="auto"/>
              <w:ind w:right="0" w:firstLine="482" w:firstLineChars="200"/>
              <w:rPr>
                <w:rFonts w:hint="eastAsia"/>
                <w:b/>
                <w:color w:val="auto"/>
                <w:sz w:val="24"/>
                <w:szCs w:val="24"/>
              </w:rPr>
            </w:pPr>
            <w:r>
              <w:rPr>
                <w:rFonts w:hint="eastAsia"/>
                <w:b/>
                <w:color w:val="auto"/>
                <w:sz w:val="24"/>
                <w:szCs w:val="24"/>
              </w:rPr>
              <w:t>（</w:t>
            </w:r>
            <w:r>
              <w:rPr>
                <w:rFonts w:hint="eastAsia"/>
                <w:b/>
                <w:color w:val="auto"/>
                <w:sz w:val="24"/>
                <w:szCs w:val="24"/>
                <w:lang w:val="en-US" w:eastAsia="zh-CN"/>
              </w:rPr>
              <w:t>2</w:t>
            </w:r>
            <w:r>
              <w:rPr>
                <w:rFonts w:hint="eastAsia"/>
                <w:b/>
                <w:color w:val="auto"/>
                <w:sz w:val="24"/>
                <w:szCs w:val="24"/>
              </w:rPr>
              <w:t>）跟踪监测计划</w:t>
            </w:r>
          </w:p>
          <w:p>
            <w:pPr>
              <w:pStyle w:val="10"/>
              <w:spacing w:before="0" w:after="0" w:line="360" w:lineRule="auto"/>
              <w:ind w:right="0" w:firstLine="480" w:firstLineChars="200"/>
              <w:rPr>
                <w:rFonts w:hint="eastAsia"/>
                <w:bCs/>
                <w:color w:val="auto"/>
                <w:sz w:val="24"/>
                <w:szCs w:val="24"/>
              </w:rPr>
            </w:pPr>
            <w:r>
              <w:rPr>
                <w:rFonts w:hint="eastAsia"/>
                <w:bCs/>
                <w:color w:val="auto"/>
                <w:sz w:val="24"/>
                <w:szCs w:val="24"/>
              </w:rPr>
              <w:t>参照</w:t>
            </w:r>
            <w:r>
              <w:rPr>
                <w:bCs/>
                <w:color w:val="auto"/>
                <w:sz w:val="24"/>
                <w:szCs w:val="24"/>
              </w:rPr>
              <w:t>《排污许可证申请与核发技术规范 废弃资源加工工业》（HJ1034-2019）</w:t>
            </w:r>
            <w:r>
              <w:rPr>
                <w:rFonts w:hint="eastAsia"/>
                <w:bCs/>
                <w:color w:val="auto"/>
                <w:sz w:val="24"/>
                <w:szCs w:val="24"/>
                <w:lang w:val="en-US" w:eastAsia="zh-CN"/>
              </w:rPr>
              <w:t>和</w:t>
            </w:r>
            <w:r>
              <w:rPr>
                <w:rFonts w:hint="eastAsia"/>
                <w:bCs/>
                <w:color w:val="auto"/>
                <w:sz w:val="24"/>
                <w:szCs w:val="24"/>
              </w:rPr>
              <w:t>《排污单位自行监测指南—总则》（HJ819-2017）以及排放标准，环评提出运行期每年应对项目污染进行监测，本项目监测计划见下表。</w:t>
            </w:r>
          </w:p>
          <w:p>
            <w:pPr>
              <w:pStyle w:val="10"/>
              <w:spacing w:before="0" w:after="0" w:line="240" w:lineRule="auto"/>
              <w:ind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default"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rPr>
              <w:t xml:space="preserve"> 废气跟踪监测计划</w:t>
            </w:r>
          </w:p>
          <w:tbl>
            <w:tblPr>
              <w:tblStyle w:val="3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44"/>
              <w:gridCol w:w="1006"/>
              <w:gridCol w:w="1741"/>
              <w:gridCol w:w="889"/>
              <w:gridCol w:w="2334"/>
              <w:gridCol w:w="15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45" w:type="pct"/>
                  <w:shd w:val="clear" w:color="auto" w:fill="DCE6F2" w:themeFill="accent1" w:themeFillTint="32"/>
                  <w:noWrap w:val="0"/>
                  <w:vAlign w:val="center"/>
                </w:tcPr>
                <w:p>
                  <w:pPr>
                    <w:pStyle w:val="10"/>
                    <w:spacing w:before="0" w:after="0" w:line="240" w:lineRule="auto"/>
                    <w:ind w:right="0"/>
                    <w:jc w:val="center"/>
                    <w:rPr>
                      <w:b/>
                      <w:color w:val="auto"/>
                      <w:sz w:val="21"/>
                      <w:szCs w:val="21"/>
                    </w:rPr>
                  </w:pPr>
                  <w:r>
                    <w:rPr>
                      <w:rFonts w:hint="eastAsia"/>
                      <w:b/>
                      <w:color w:val="auto"/>
                      <w:sz w:val="21"/>
                      <w:szCs w:val="21"/>
                    </w:rPr>
                    <w:t>类型</w:t>
                  </w:r>
                </w:p>
              </w:tc>
              <w:tc>
                <w:tcPr>
                  <w:tcW w:w="376" w:type="pct"/>
                  <w:shd w:val="clear" w:color="auto" w:fill="DCE6F2" w:themeFill="accent1" w:themeFillTint="32"/>
                  <w:noWrap w:val="0"/>
                  <w:vAlign w:val="center"/>
                </w:tcPr>
                <w:p>
                  <w:pPr>
                    <w:pStyle w:val="10"/>
                    <w:spacing w:before="0" w:after="0" w:line="240" w:lineRule="auto"/>
                    <w:ind w:right="0"/>
                    <w:jc w:val="center"/>
                    <w:rPr>
                      <w:b/>
                      <w:color w:val="auto"/>
                      <w:sz w:val="21"/>
                      <w:szCs w:val="21"/>
                    </w:rPr>
                  </w:pPr>
                  <w:r>
                    <w:rPr>
                      <w:rFonts w:hint="eastAsia"/>
                      <w:b/>
                      <w:color w:val="auto"/>
                      <w:sz w:val="21"/>
                      <w:szCs w:val="21"/>
                    </w:rPr>
                    <w:t>排放方式</w:t>
                  </w:r>
                </w:p>
              </w:tc>
              <w:tc>
                <w:tcPr>
                  <w:tcW w:w="586" w:type="pct"/>
                  <w:shd w:val="clear" w:color="auto" w:fill="DCE6F2" w:themeFill="accent1" w:themeFillTint="32"/>
                  <w:noWrap w:val="0"/>
                  <w:vAlign w:val="center"/>
                </w:tcPr>
                <w:p>
                  <w:pPr>
                    <w:pStyle w:val="10"/>
                    <w:spacing w:before="0" w:after="0" w:line="240" w:lineRule="auto"/>
                    <w:ind w:right="0"/>
                    <w:jc w:val="center"/>
                    <w:rPr>
                      <w:rFonts w:hint="eastAsia"/>
                      <w:b/>
                      <w:color w:val="auto"/>
                      <w:sz w:val="21"/>
                      <w:szCs w:val="21"/>
                    </w:rPr>
                  </w:pPr>
                  <w:r>
                    <w:rPr>
                      <w:rFonts w:hint="eastAsia"/>
                      <w:b/>
                      <w:color w:val="auto"/>
                      <w:sz w:val="21"/>
                      <w:szCs w:val="21"/>
                    </w:rPr>
                    <w:t>监测点位</w:t>
                  </w:r>
                </w:p>
              </w:tc>
              <w:tc>
                <w:tcPr>
                  <w:tcW w:w="1014" w:type="pct"/>
                  <w:shd w:val="clear" w:color="auto" w:fill="DCE6F2" w:themeFill="accent1" w:themeFillTint="32"/>
                  <w:noWrap w:val="0"/>
                  <w:vAlign w:val="center"/>
                </w:tcPr>
                <w:p>
                  <w:pPr>
                    <w:pStyle w:val="10"/>
                    <w:spacing w:before="0" w:after="0" w:line="240" w:lineRule="auto"/>
                    <w:ind w:right="0"/>
                    <w:jc w:val="center"/>
                    <w:rPr>
                      <w:b/>
                      <w:color w:val="auto"/>
                      <w:sz w:val="21"/>
                      <w:szCs w:val="21"/>
                    </w:rPr>
                  </w:pPr>
                  <w:r>
                    <w:rPr>
                      <w:rFonts w:hint="eastAsia"/>
                      <w:b/>
                      <w:color w:val="auto"/>
                      <w:sz w:val="21"/>
                      <w:szCs w:val="21"/>
                    </w:rPr>
                    <w:t>监测指标</w:t>
                  </w:r>
                </w:p>
              </w:tc>
              <w:tc>
                <w:tcPr>
                  <w:tcW w:w="518" w:type="pct"/>
                  <w:shd w:val="clear" w:color="auto" w:fill="DCE6F2" w:themeFill="accent1" w:themeFillTint="32"/>
                  <w:noWrap w:val="0"/>
                  <w:vAlign w:val="center"/>
                </w:tcPr>
                <w:p>
                  <w:pPr>
                    <w:pStyle w:val="10"/>
                    <w:spacing w:before="0" w:after="0" w:line="240" w:lineRule="auto"/>
                    <w:ind w:right="0"/>
                    <w:jc w:val="center"/>
                    <w:rPr>
                      <w:rFonts w:hint="default" w:eastAsia="宋体"/>
                      <w:b/>
                      <w:color w:val="auto"/>
                      <w:sz w:val="21"/>
                      <w:szCs w:val="21"/>
                      <w:lang w:val="en-US" w:eastAsia="zh-CN"/>
                    </w:rPr>
                  </w:pPr>
                  <w:r>
                    <w:rPr>
                      <w:rFonts w:hint="eastAsia"/>
                      <w:b/>
                      <w:color w:val="auto"/>
                      <w:sz w:val="21"/>
                      <w:szCs w:val="21"/>
                      <w:lang w:val="en-US" w:eastAsia="zh-CN"/>
                    </w:rPr>
                    <w:t>监测频次</w:t>
                  </w:r>
                </w:p>
              </w:tc>
              <w:tc>
                <w:tcPr>
                  <w:tcW w:w="1359" w:type="pct"/>
                  <w:shd w:val="clear" w:color="auto" w:fill="DCE6F2" w:themeFill="accent1" w:themeFillTint="32"/>
                  <w:noWrap w:val="0"/>
                  <w:vAlign w:val="center"/>
                </w:tcPr>
                <w:p>
                  <w:pPr>
                    <w:pStyle w:val="10"/>
                    <w:spacing w:before="0" w:after="0" w:line="240" w:lineRule="auto"/>
                    <w:ind w:right="0"/>
                    <w:jc w:val="center"/>
                    <w:rPr>
                      <w:b/>
                      <w:color w:val="auto"/>
                      <w:sz w:val="21"/>
                      <w:szCs w:val="21"/>
                    </w:rPr>
                  </w:pPr>
                  <w:r>
                    <w:rPr>
                      <w:rFonts w:hint="eastAsia"/>
                      <w:b/>
                      <w:color w:val="auto"/>
                      <w:sz w:val="21"/>
                      <w:szCs w:val="21"/>
                    </w:rPr>
                    <w:t>执行排放标准</w:t>
                  </w:r>
                </w:p>
              </w:tc>
              <w:tc>
                <w:tcPr>
                  <w:tcW w:w="898" w:type="pct"/>
                  <w:shd w:val="clear" w:color="auto" w:fill="DCE6F2" w:themeFill="accent1" w:themeFillTint="32"/>
                  <w:noWrap w:val="0"/>
                  <w:vAlign w:val="center"/>
                </w:tcPr>
                <w:p>
                  <w:pPr>
                    <w:pStyle w:val="10"/>
                    <w:spacing w:before="0" w:after="0" w:line="240" w:lineRule="auto"/>
                    <w:ind w:right="0"/>
                    <w:jc w:val="center"/>
                    <w:rPr>
                      <w:rFonts w:hint="eastAsia"/>
                      <w:b/>
                      <w:color w:val="auto"/>
                      <w:sz w:val="21"/>
                      <w:szCs w:val="21"/>
                    </w:rPr>
                  </w:pPr>
                  <w:r>
                    <w:rPr>
                      <w:rFonts w:hint="eastAsia"/>
                      <w:b/>
                      <w:color w:val="auto"/>
                      <w:sz w:val="21"/>
                      <w:szCs w:val="21"/>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45" w:type="pct"/>
                  <w:vMerge w:val="restart"/>
                  <w:noWrap w:val="0"/>
                  <w:vAlign w:val="center"/>
                </w:tcPr>
                <w:p>
                  <w:pPr>
                    <w:pStyle w:val="10"/>
                    <w:spacing w:before="0" w:after="0" w:line="240" w:lineRule="auto"/>
                    <w:ind w:right="0"/>
                    <w:jc w:val="center"/>
                    <w:rPr>
                      <w:rFonts w:hint="eastAsia"/>
                      <w:bCs/>
                      <w:color w:val="auto"/>
                      <w:sz w:val="21"/>
                      <w:szCs w:val="21"/>
                    </w:rPr>
                  </w:pPr>
                  <w:r>
                    <w:rPr>
                      <w:rFonts w:hint="eastAsia"/>
                      <w:bCs/>
                      <w:color w:val="auto"/>
                      <w:sz w:val="21"/>
                      <w:szCs w:val="21"/>
                    </w:rPr>
                    <w:t>废气</w:t>
                  </w:r>
                </w:p>
              </w:tc>
              <w:tc>
                <w:tcPr>
                  <w:tcW w:w="376" w:type="pct"/>
                  <w:noWrap w:val="0"/>
                  <w:vAlign w:val="center"/>
                </w:tcPr>
                <w:p>
                  <w:pPr>
                    <w:pStyle w:val="10"/>
                    <w:spacing w:before="0" w:after="0" w:line="240" w:lineRule="auto"/>
                    <w:ind w:right="0"/>
                    <w:jc w:val="center"/>
                    <w:rPr>
                      <w:rFonts w:hint="eastAsia"/>
                      <w:bCs/>
                      <w:color w:val="auto"/>
                      <w:sz w:val="21"/>
                      <w:szCs w:val="21"/>
                    </w:rPr>
                  </w:pPr>
                  <w:r>
                    <w:rPr>
                      <w:rFonts w:hint="eastAsia"/>
                      <w:bCs/>
                      <w:color w:val="auto"/>
                      <w:sz w:val="21"/>
                      <w:szCs w:val="21"/>
                    </w:rPr>
                    <w:t>有组织</w:t>
                  </w:r>
                </w:p>
              </w:tc>
              <w:tc>
                <w:tcPr>
                  <w:tcW w:w="586" w:type="pct"/>
                  <w:noWrap w:val="0"/>
                  <w:vAlign w:val="center"/>
                </w:tcPr>
                <w:p>
                  <w:pPr>
                    <w:pStyle w:val="10"/>
                    <w:spacing w:before="0" w:after="0" w:line="240" w:lineRule="auto"/>
                    <w:ind w:right="0"/>
                    <w:jc w:val="center"/>
                    <w:rPr>
                      <w:rFonts w:hint="eastAsia" w:eastAsia="宋体"/>
                      <w:bCs/>
                      <w:color w:val="auto"/>
                      <w:sz w:val="21"/>
                      <w:szCs w:val="21"/>
                      <w:lang w:eastAsia="zh-CN"/>
                    </w:rPr>
                  </w:pPr>
                  <w:r>
                    <w:rPr>
                      <w:rFonts w:hint="default" w:ascii="Times New Roman" w:hAnsi="Times New Roman" w:cs="Times New Roman"/>
                      <w:color w:val="auto"/>
                      <w:sz w:val="21"/>
                      <w:szCs w:val="21"/>
                    </w:rPr>
                    <w:t>造粒、搅拌、拉丝</w:t>
                  </w:r>
                  <w:r>
                    <w:rPr>
                      <w:color w:val="auto"/>
                      <w:sz w:val="21"/>
                      <w:szCs w:val="21"/>
                    </w:rPr>
                    <w:t>废气排气筒</w:t>
                  </w:r>
                  <w:r>
                    <w:rPr>
                      <w:rFonts w:hint="eastAsia"/>
                      <w:color w:val="auto"/>
                      <w:sz w:val="21"/>
                      <w:szCs w:val="21"/>
                      <w:lang w:val="en-US" w:eastAsia="zh-CN"/>
                    </w:rPr>
                    <w:t>出口</w:t>
                  </w:r>
                </w:p>
              </w:tc>
              <w:tc>
                <w:tcPr>
                  <w:tcW w:w="1014" w:type="pct"/>
                  <w:noWrap w:val="0"/>
                  <w:vAlign w:val="center"/>
                </w:tcPr>
                <w:p>
                  <w:pPr>
                    <w:pStyle w:val="1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rPr>
                    <w:t>非甲烷总烃</w:t>
                  </w:r>
                  <w:r>
                    <w:rPr>
                      <w:rFonts w:hint="eastAsia"/>
                      <w:bCs/>
                      <w:color w:val="auto"/>
                      <w:sz w:val="21"/>
                      <w:szCs w:val="21"/>
                      <w:lang w:eastAsia="zh-CN"/>
                    </w:rPr>
                    <w:t>、</w:t>
                  </w:r>
                  <w:r>
                    <w:rPr>
                      <w:rFonts w:hint="eastAsia"/>
                      <w:bCs/>
                      <w:color w:val="auto"/>
                      <w:sz w:val="21"/>
                      <w:szCs w:val="21"/>
                      <w:lang w:val="en-US" w:eastAsia="zh-CN"/>
                    </w:rPr>
                    <w:t>颗粒物、二甲苯、氯化氢</w:t>
                  </w:r>
                </w:p>
              </w:tc>
              <w:tc>
                <w:tcPr>
                  <w:tcW w:w="518" w:type="pct"/>
                  <w:noWrap w:val="0"/>
                  <w:vAlign w:val="center"/>
                </w:tcPr>
                <w:p>
                  <w:pPr>
                    <w:pStyle w:val="10"/>
                    <w:spacing w:before="0" w:after="0" w:line="240" w:lineRule="auto"/>
                    <w:ind w:right="0"/>
                    <w:jc w:val="center"/>
                    <w:rPr>
                      <w:rFonts w:hint="default" w:eastAsia="宋体"/>
                      <w:bCs/>
                      <w:color w:val="auto"/>
                      <w:sz w:val="21"/>
                      <w:szCs w:val="21"/>
                      <w:lang w:val="en-US" w:eastAsia="zh-CN"/>
                    </w:rPr>
                  </w:pPr>
                  <w:r>
                    <w:rPr>
                      <w:rFonts w:hint="eastAsia"/>
                      <w:bCs/>
                      <w:color w:val="auto"/>
                      <w:sz w:val="21"/>
                      <w:szCs w:val="21"/>
                      <w:lang w:val="en-US" w:eastAsia="zh-CN"/>
                    </w:rPr>
                    <w:t>半年/次</w:t>
                  </w:r>
                </w:p>
              </w:tc>
              <w:tc>
                <w:tcPr>
                  <w:tcW w:w="1359" w:type="pct"/>
                  <w:noWrap w:val="0"/>
                  <w:vAlign w:val="center"/>
                </w:tcPr>
                <w:p>
                  <w:pPr>
                    <w:pStyle w:val="10"/>
                    <w:spacing w:before="0" w:after="0" w:line="240" w:lineRule="auto"/>
                    <w:ind w:right="0"/>
                    <w:jc w:val="center"/>
                    <w:rPr>
                      <w:rFonts w:hint="eastAsia"/>
                      <w:bCs/>
                      <w:color w:val="auto"/>
                      <w:sz w:val="21"/>
                      <w:szCs w:val="21"/>
                    </w:rPr>
                  </w:pPr>
                  <w:r>
                    <w:rPr>
                      <w:bCs/>
                      <w:color w:val="auto"/>
                      <w:sz w:val="21"/>
                      <w:szCs w:val="21"/>
                    </w:rPr>
                    <w:t>《合成树脂工业污染物排放标准》（GB31572-2015）表5</w:t>
                  </w:r>
                </w:p>
              </w:tc>
              <w:tc>
                <w:tcPr>
                  <w:tcW w:w="898" w:type="pct"/>
                  <w:noWrap w:val="0"/>
                  <w:vAlign w:val="center"/>
                </w:tcPr>
                <w:p>
                  <w:pPr>
                    <w:pStyle w:val="10"/>
                    <w:spacing w:before="0" w:after="0" w:line="240" w:lineRule="auto"/>
                    <w:ind w:right="0"/>
                    <w:jc w:val="center"/>
                    <w:rPr>
                      <w:bCs/>
                      <w:color w:val="auto"/>
                      <w:sz w:val="21"/>
                      <w:szCs w:val="21"/>
                    </w:rPr>
                  </w:pPr>
                  <w:r>
                    <w:rPr>
                      <w:rFonts w:hint="eastAsia"/>
                      <w:bCs/>
                      <w:color w:val="auto"/>
                      <w:sz w:val="21"/>
                      <w:szCs w:val="21"/>
                    </w:rPr>
                    <w:t>60mg/m</w:t>
                  </w:r>
                  <w:r>
                    <w:rPr>
                      <w:rFonts w:hint="eastAsia"/>
                      <w:bCs/>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45" w:type="pct"/>
                  <w:vMerge w:val="continue"/>
                  <w:noWrap w:val="0"/>
                  <w:vAlign w:val="center"/>
                </w:tcPr>
                <w:p>
                  <w:pPr>
                    <w:pStyle w:val="10"/>
                    <w:spacing w:before="0" w:after="0" w:line="240" w:lineRule="auto"/>
                    <w:ind w:right="0"/>
                    <w:jc w:val="center"/>
                    <w:rPr>
                      <w:rFonts w:hint="eastAsia"/>
                      <w:bCs/>
                      <w:color w:val="auto"/>
                      <w:sz w:val="21"/>
                      <w:szCs w:val="21"/>
                    </w:rPr>
                  </w:pPr>
                </w:p>
              </w:tc>
              <w:tc>
                <w:tcPr>
                  <w:tcW w:w="376" w:type="pct"/>
                  <w:noWrap w:val="0"/>
                  <w:vAlign w:val="center"/>
                </w:tcPr>
                <w:p>
                  <w:pPr>
                    <w:pStyle w:val="10"/>
                    <w:spacing w:before="0" w:after="0" w:line="240" w:lineRule="auto"/>
                    <w:ind w:right="0"/>
                    <w:jc w:val="center"/>
                    <w:rPr>
                      <w:rFonts w:hint="eastAsia"/>
                      <w:bCs/>
                      <w:color w:val="auto"/>
                      <w:sz w:val="21"/>
                      <w:szCs w:val="21"/>
                    </w:rPr>
                  </w:pPr>
                  <w:r>
                    <w:rPr>
                      <w:rFonts w:hint="eastAsia"/>
                      <w:bCs/>
                      <w:color w:val="auto"/>
                      <w:sz w:val="21"/>
                      <w:szCs w:val="21"/>
                    </w:rPr>
                    <w:t>无组织</w:t>
                  </w:r>
                </w:p>
              </w:tc>
              <w:tc>
                <w:tcPr>
                  <w:tcW w:w="586" w:type="pct"/>
                  <w:noWrap w:val="0"/>
                  <w:vAlign w:val="center"/>
                </w:tcPr>
                <w:p>
                  <w:pPr>
                    <w:pStyle w:val="10"/>
                    <w:spacing w:before="0" w:after="0" w:line="240" w:lineRule="auto"/>
                    <w:ind w:right="0"/>
                    <w:jc w:val="center"/>
                    <w:rPr>
                      <w:bCs/>
                      <w:color w:val="auto"/>
                      <w:sz w:val="21"/>
                      <w:szCs w:val="21"/>
                    </w:rPr>
                  </w:pPr>
                  <w:r>
                    <w:rPr>
                      <w:rFonts w:hint="eastAsia"/>
                      <w:bCs/>
                      <w:color w:val="auto"/>
                      <w:sz w:val="21"/>
                      <w:szCs w:val="21"/>
                    </w:rPr>
                    <w:t>企业厂界</w:t>
                  </w:r>
                </w:p>
              </w:tc>
              <w:tc>
                <w:tcPr>
                  <w:tcW w:w="1014" w:type="pct"/>
                  <w:noWrap w:val="0"/>
                  <w:vAlign w:val="center"/>
                </w:tcPr>
                <w:p>
                  <w:pPr>
                    <w:pStyle w:val="10"/>
                    <w:spacing w:before="0" w:after="0" w:line="240" w:lineRule="auto"/>
                    <w:ind w:right="0"/>
                    <w:jc w:val="center"/>
                    <w:rPr>
                      <w:bCs/>
                      <w:color w:val="auto"/>
                      <w:sz w:val="21"/>
                      <w:szCs w:val="21"/>
                    </w:rPr>
                  </w:pPr>
                  <w:r>
                    <w:rPr>
                      <w:rFonts w:hint="eastAsia"/>
                      <w:bCs/>
                      <w:color w:val="auto"/>
                      <w:sz w:val="21"/>
                      <w:szCs w:val="21"/>
                      <w:lang w:val="en-US" w:eastAsia="zh-CN"/>
                    </w:rPr>
                    <w:t>颗粒物、</w:t>
                  </w:r>
                  <w:r>
                    <w:rPr>
                      <w:rFonts w:hint="eastAsia"/>
                      <w:bCs/>
                      <w:color w:val="auto"/>
                      <w:sz w:val="21"/>
                      <w:szCs w:val="21"/>
                    </w:rPr>
                    <w:t>非甲烷总烃</w:t>
                  </w:r>
                </w:p>
              </w:tc>
              <w:tc>
                <w:tcPr>
                  <w:tcW w:w="518" w:type="pct"/>
                  <w:noWrap w:val="0"/>
                  <w:vAlign w:val="center"/>
                </w:tcPr>
                <w:p>
                  <w:pPr>
                    <w:pStyle w:val="10"/>
                    <w:spacing w:before="0" w:after="0" w:line="240" w:lineRule="auto"/>
                    <w:ind w:right="0"/>
                    <w:jc w:val="center"/>
                    <w:rPr>
                      <w:bCs/>
                      <w:color w:val="auto"/>
                      <w:sz w:val="21"/>
                      <w:szCs w:val="21"/>
                    </w:rPr>
                  </w:pPr>
                  <w:r>
                    <w:rPr>
                      <w:rFonts w:hint="eastAsia"/>
                      <w:bCs/>
                      <w:color w:val="auto"/>
                      <w:sz w:val="21"/>
                      <w:szCs w:val="21"/>
                      <w:lang w:val="en-US" w:eastAsia="zh-CN"/>
                    </w:rPr>
                    <w:t>年</w:t>
                  </w:r>
                </w:p>
              </w:tc>
              <w:tc>
                <w:tcPr>
                  <w:tcW w:w="1359" w:type="pct"/>
                  <w:noWrap w:val="0"/>
                  <w:vAlign w:val="center"/>
                </w:tcPr>
                <w:p>
                  <w:pPr>
                    <w:pStyle w:val="10"/>
                    <w:spacing w:before="0" w:after="0" w:line="240" w:lineRule="auto"/>
                    <w:ind w:right="0"/>
                    <w:jc w:val="center"/>
                    <w:rPr>
                      <w:rFonts w:hint="eastAsia"/>
                      <w:bCs/>
                      <w:color w:val="auto"/>
                      <w:sz w:val="21"/>
                      <w:szCs w:val="21"/>
                    </w:rPr>
                  </w:pPr>
                  <w:r>
                    <w:rPr>
                      <w:bCs/>
                      <w:color w:val="auto"/>
                      <w:sz w:val="21"/>
                      <w:szCs w:val="21"/>
                    </w:rPr>
                    <w:t>《合成树脂工业污染物排放标准》（GB31572-2015）表9</w:t>
                  </w:r>
                </w:p>
              </w:tc>
              <w:tc>
                <w:tcPr>
                  <w:tcW w:w="898" w:type="pct"/>
                  <w:noWrap w:val="0"/>
                  <w:vAlign w:val="center"/>
                </w:tcPr>
                <w:p>
                  <w:pPr>
                    <w:pStyle w:val="10"/>
                    <w:spacing w:before="0" w:after="0" w:line="240" w:lineRule="auto"/>
                    <w:ind w:right="0"/>
                    <w:jc w:val="center"/>
                    <w:rPr>
                      <w:bCs/>
                      <w:color w:val="auto"/>
                      <w:sz w:val="21"/>
                      <w:szCs w:val="21"/>
                    </w:rPr>
                  </w:pPr>
                  <w:r>
                    <w:rPr>
                      <w:rFonts w:hint="eastAsia"/>
                      <w:bCs/>
                      <w:color w:val="auto"/>
                      <w:sz w:val="21"/>
                      <w:szCs w:val="21"/>
                    </w:rPr>
                    <w:t>4.0mg/m</w:t>
                  </w:r>
                  <w:r>
                    <w:rPr>
                      <w:rFonts w:hint="eastAsia"/>
                      <w:bCs/>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45" w:type="pct"/>
                  <w:vMerge w:val="continue"/>
                  <w:noWrap w:val="0"/>
                  <w:vAlign w:val="center"/>
                </w:tcPr>
                <w:p>
                  <w:pPr>
                    <w:pStyle w:val="10"/>
                    <w:spacing w:before="0" w:after="0" w:line="240" w:lineRule="auto"/>
                    <w:ind w:right="0"/>
                    <w:jc w:val="center"/>
                    <w:rPr>
                      <w:rFonts w:hint="eastAsia"/>
                      <w:bCs/>
                      <w:color w:val="auto"/>
                      <w:sz w:val="21"/>
                      <w:szCs w:val="21"/>
                    </w:rPr>
                  </w:pPr>
                </w:p>
              </w:tc>
              <w:tc>
                <w:tcPr>
                  <w:tcW w:w="376" w:type="pct"/>
                  <w:vMerge w:val="restart"/>
                  <w:noWrap w:val="0"/>
                  <w:vAlign w:val="center"/>
                </w:tcPr>
                <w:p>
                  <w:pPr>
                    <w:pStyle w:val="10"/>
                    <w:spacing w:before="0" w:after="0" w:line="240" w:lineRule="auto"/>
                    <w:ind w:right="0"/>
                    <w:jc w:val="center"/>
                    <w:rPr>
                      <w:rFonts w:hint="eastAsia"/>
                      <w:bCs/>
                      <w:color w:val="auto"/>
                      <w:sz w:val="21"/>
                      <w:szCs w:val="21"/>
                    </w:rPr>
                  </w:pPr>
                  <w:r>
                    <w:rPr>
                      <w:rFonts w:hint="eastAsia"/>
                      <w:bCs/>
                      <w:color w:val="auto"/>
                      <w:sz w:val="21"/>
                      <w:szCs w:val="21"/>
                    </w:rPr>
                    <w:t>无组织</w:t>
                  </w:r>
                </w:p>
              </w:tc>
              <w:tc>
                <w:tcPr>
                  <w:tcW w:w="586" w:type="pct"/>
                  <w:vMerge w:val="restart"/>
                  <w:noWrap w:val="0"/>
                  <w:vAlign w:val="center"/>
                </w:tcPr>
                <w:p>
                  <w:pPr>
                    <w:pStyle w:val="10"/>
                    <w:spacing w:before="0" w:after="0" w:line="240" w:lineRule="auto"/>
                    <w:ind w:right="0"/>
                    <w:jc w:val="center"/>
                    <w:rPr>
                      <w:bCs/>
                      <w:color w:val="auto"/>
                      <w:sz w:val="21"/>
                      <w:szCs w:val="21"/>
                    </w:rPr>
                  </w:pPr>
                  <w:r>
                    <w:rPr>
                      <w:rFonts w:hint="eastAsia"/>
                      <w:bCs/>
                      <w:color w:val="auto"/>
                      <w:sz w:val="21"/>
                      <w:szCs w:val="21"/>
                    </w:rPr>
                    <w:t>厂房外设置监控点</w:t>
                  </w:r>
                </w:p>
              </w:tc>
              <w:tc>
                <w:tcPr>
                  <w:tcW w:w="1014" w:type="pct"/>
                  <w:vMerge w:val="restart"/>
                  <w:noWrap w:val="0"/>
                  <w:vAlign w:val="center"/>
                </w:tcPr>
                <w:p>
                  <w:pPr>
                    <w:pStyle w:val="10"/>
                    <w:spacing w:before="0" w:after="0" w:line="240" w:lineRule="auto"/>
                    <w:ind w:right="0"/>
                    <w:jc w:val="center"/>
                    <w:rPr>
                      <w:bCs/>
                      <w:color w:val="auto"/>
                      <w:sz w:val="21"/>
                      <w:szCs w:val="21"/>
                    </w:rPr>
                  </w:pPr>
                  <w:r>
                    <w:rPr>
                      <w:rFonts w:hint="eastAsia"/>
                      <w:bCs/>
                      <w:color w:val="auto"/>
                      <w:sz w:val="21"/>
                      <w:szCs w:val="21"/>
                    </w:rPr>
                    <w:t>非甲烷总烃</w:t>
                  </w:r>
                </w:p>
              </w:tc>
              <w:tc>
                <w:tcPr>
                  <w:tcW w:w="518" w:type="pct"/>
                  <w:noWrap w:val="0"/>
                  <w:vAlign w:val="center"/>
                </w:tcPr>
                <w:p>
                  <w:pPr>
                    <w:pStyle w:val="10"/>
                    <w:spacing w:before="0" w:after="0" w:line="240" w:lineRule="auto"/>
                    <w:ind w:right="0"/>
                    <w:jc w:val="center"/>
                    <w:rPr>
                      <w:rFonts w:hint="eastAsia" w:eastAsia="宋体"/>
                      <w:bCs/>
                      <w:color w:val="auto"/>
                      <w:sz w:val="21"/>
                      <w:szCs w:val="21"/>
                      <w:lang w:val="en-US" w:eastAsia="zh-CN"/>
                    </w:rPr>
                  </w:pPr>
                  <w:r>
                    <w:rPr>
                      <w:rFonts w:hint="eastAsia"/>
                      <w:bCs/>
                      <w:color w:val="auto"/>
                      <w:sz w:val="21"/>
                      <w:szCs w:val="21"/>
                      <w:lang w:val="en-US" w:eastAsia="zh-CN"/>
                    </w:rPr>
                    <w:t>年</w:t>
                  </w:r>
                </w:p>
              </w:tc>
              <w:tc>
                <w:tcPr>
                  <w:tcW w:w="1359" w:type="pct"/>
                  <w:vMerge w:val="restart"/>
                  <w:noWrap w:val="0"/>
                  <w:vAlign w:val="center"/>
                </w:tcPr>
                <w:p>
                  <w:pPr>
                    <w:pStyle w:val="10"/>
                    <w:spacing w:before="0" w:after="0" w:line="240" w:lineRule="auto"/>
                    <w:ind w:right="0"/>
                    <w:jc w:val="center"/>
                    <w:rPr>
                      <w:rFonts w:hint="eastAsia"/>
                      <w:bCs/>
                      <w:color w:val="auto"/>
                      <w:sz w:val="21"/>
                      <w:szCs w:val="21"/>
                    </w:rPr>
                  </w:pPr>
                  <w:r>
                    <w:rPr>
                      <w:rFonts w:hint="eastAsia"/>
                      <w:bCs/>
                      <w:color w:val="auto"/>
                      <w:sz w:val="21"/>
                      <w:szCs w:val="21"/>
                    </w:rPr>
                    <w:t>《挥发性有机物无组织排放控制标准》（GB37822-2019）附录A.表A1特别排放限值</w:t>
                  </w:r>
                </w:p>
              </w:tc>
              <w:tc>
                <w:tcPr>
                  <w:tcW w:w="898" w:type="pct"/>
                  <w:noWrap w:val="0"/>
                  <w:vAlign w:val="center"/>
                </w:tcPr>
                <w:p>
                  <w:pPr>
                    <w:pStyle w:val="10"/>
                    <w:spacing w:before="0" w:after="0" w:line="240" w:lineRule="auto"/>
                    <w:ind w:right="0"/>
                    <w:rPr>
                      <w:bCs/>
                      <w:color w:val="auto"/>
                      <w:sz w:val="21"/>
                      <w:szCs w:val="21"/>
                    </w:rPr>
                  </w:pPr>
                  <w:r>
                    <w:rPr>
                      <w:bCs/>
                      <w:color w:val="auto"/>
                      <w:sz w:val="21"/>
                      <w:szCs w:val="21"/>
                    </w:rPr>
                    <w:t>6mg/m</w:t>
                  </w:r>
                  <w:r>
                    <w:rPr>
                      <w:bCs/>
                      <w:color w:val="auto"/>
                      <w:sz w:val="21"/>
                      <w:szCs w:val="21"/>
                      <w:vertAlign w:val="superscript"/>
                    </w:rPr>
                    <w:t>3</w:t>
                  </w:r>
                  <w:r>
                    <w:rPr>
                      <w:rFonts w:hint="eastAsia"/>
                      <w:bCs/>
                      <w:color w:val="auto"/>
                      <w:sz w:val="21"/>
                      <w:szCs w:val="21"/>
                    </w:rPr>
                    <w:t>（监控点处</w:t>
                  </w:r>
                  <w:r>
                    <w:rPr>
                      <w:bCs/>
                      <w:color w:val="auto"/>
                      <w:sz w:val="21"/>
                      <w:szCs w:val="21"/>
                    </w:rPr>
                    <w:t>1h</w:t>
                  </w:r>
                  <w:r>
                    <w:rPr>
                      <w:rFonts w:hint="eastAsia"/>
                      <w:bCs/>
                      <w:color w:val="auto"/>
                      <w:sz w:val="21"/>
                      <w:szCs w:val="21"/>
                    </w:rPr>
                    <w:t>平均浓度）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5" w:type="pct"/>
                  <w:vMerge w:val="continue"/>
                  <w:noWrap w:val="0"/>
                  <w:vAlign w:val="center"/>
                </w:tcPr>
                <w:p>
                  <w:pPr>
                    <w:pStyle w:val="10"/>
                    <w:spacing w:before="0" w:after="0" w:line="240" w:lineRule="auto"/>
                    <w:ind w:right="0"/>
                    <w:jc w:val="center"/>
                    <w:rPr>
                      <w:rFonts w:hint="eastAsia"/>
                      <w:bCs/>
                      <w:color w:val="auto"/>
                      <w:sz w:val="21"/>
                      <w:szCs w:val="21"/>
                    </w:rPr>
                  </w:pPr>
                </w:p>
              </w:tc>
              <w:tc>
                <w:tcPr>
                  <w:tcW w:w="376" w:type="pct"/>
                  <w:vMerge w:val="continue"/>
                  <w:noWrap w:val="0"/>
                  <w:vAlign w:val="center"/>
                </w:tcPr>
                <w:p>
                  <w:pPr>
                    <w:pStyle w:val="10"/>
                    <w:spacing w:before="0" w:after="0" w:line="240" w:lineRule="auto"/>
                    <w:ind w:right="0"/>
                    <w:jc w:val="center"/>
                    <w:rPr>
                      <w:rFonts w:hint="eastAsia"/>
                      <w:bCs/>
                      <w:color w:val="auto"/>
                      <w:sz w:val="21"/>
                      <w:szCs w:val="21"/>
                    </w:rPr>
                  </w:pPr>
                </w:p>
              </w:tc>
              <w:tc>
                <w:tcPr>
                  <w:tcW w:w="586" w:type="pct"/>
                  <w:vMerge w:val="continue"/>
                  <w:noWrap w:val="0"/>
                  <w:vAlign w:val="center"/>
                </w:tcPr>
                <w:p>
                  <w:pPr>
                    <w:pStyle w:val="10"/>
                    <w:spacing w:before="0" w:after="0" w:line="240" w:lineRule="auto"/>
                    <w:ind w:right="0"/>
                    <w:jc w:val="center"/>
                    <w:rPr>
                      <w:rFonts w:hint="eastAsia"/>
                      <w:bCs/>
                      <w:color w:val="auto"/>
                      <w:sz w:val="21"/>
                      <w:szCs w:val="21"/>
                    </w:rPr>
                  </w:pPr>
                </w:p>
              </w:tc>
              <w:tc>
                <w:tcPr>
                  <w:tcW w:w="1014" w:type="pct"/>
                  <w:vMerge w:val="continue"/>
                  <w:noWrap w:val="0"/>
                  <w:vAlign w:val="center"/>
                </w:tcPr>
                <w:p>
                  <w:pPr>
                    <w:pStyle w:val="10"/>
                    <w:spacing w:before="0" w:after="0" w:line="240" w:lineRule="auto"/>
                    <w:ind w:right="0"/>
                    <w:jc w:val="center"/>
                    <w:rPr>
                      <w:rFonts w:hint="eastAsia"/>
                      <w:bCs/>
                      <w:color w:val="auto"/>
                      <w:sz w:val="21"/>
                      <w:szCs w:val="21"/>
                    </w:rPr>
                  </w:pPr>
                </w:p>
              </w:tc>
              <w:tc>
                <w:tcPr>
                  <w:tcW w:w="518" w:type="pct"/>
                  <w:noWrap w:val="0"/>
                  <w:vAlign w:val="center"/>
                </w:tcPr>
                <w:p>
                  <w:pPr>
                    <w:pStyle w:val="10"/>
                    <w:spacing w:before="0" w:after="0" w:line="240" w:lineRule="auto"/>
                    <w:ind w:right="0"/>
                    <w:jc w:val="center"/>
                    <w:rPr>
                      <w:rFonts w:hint="eastAsia" w:eastAsia="宋体"/>
                      <w:bCs/>
                      <w:color w:val="auto"/>
                      <w:sz w:val="21"/>
                      <w:szCs w:val="21"/>
                      <w:lang w:val="en-US" w:eastAsia="zh-CN"/>
                    </w:rPr>
                  </w:pPr>
                  <w:r>
                    <w:rPr>
                      <w:rFonts w:hint="eastAsia"/>
                      <w:bCs/>
                      <w:color w:val="auto"/>
                      <w:sz w:val="21"/>
                      <w:szCs w:val="21"/>
                      <w:lang w:val="en-US" w:eastAsia="zh-CN"/>
                    </w:rPr>
                    <w:t>年</w:t>
                  </w:r>
                </w:p>
              </w:tc>
              <w:tc>
                <w:tcPr>
                  <w:tcW w:w="1359" w:type="pct"/>
                  <w:vMerge w:val="continue"/>
                  <w:noWrap w:val="0"/>
                  <w:vAlign w:val="center"/>
                </w:tcPr>
                <w:p>
                  <w:pPr>
                    <w:pStyle w:val="10"/>
                    <w:spacing w:before="0" w:after="0" w:line="240" w:lineRule="auto"/>
                    <w:ind w:right="0"/>
                    <w:jc w:val="center"/>
                    <w:rPr>
                      <w:rFonts w:hint="eastAsia"/>
                      <w:bCs/>
                      <w:color w:val="auto"/>
                      <w:sz w:val="21"/>
                      <w:szCs w:val="21"/>
                    </w:rPr>
                  </w:pPr>
                </w:p>
              </w:tc>
              <w:tc>
                <w:tcPr>
                  <w:tcW w:w="898" w:type="pct"/>
                  <w:noWrap w:val="0"/>
                  <w:vAlign w:val="center"/>
                </w:tcPr>
                <w:p>
                  <w:pPr>
                    <w:pStyle w:val="10"/>
                    <w:spacing w:before="0" w:after="0" w:line="240" w:lineRule="auto"/>
                    <w:ind w:right="0"/>
                    <w:rPr>
                      <w:rFonts w:hint="eastAsia"/>
                      <w:bCs/>
                      <w:color w:val="auto"/>
                      <w:sz w:val="21"/>
                      <w:szCs w:val="21"/>
                    </w:rPr>
                  </w:pPr>
                  <w:r>
                    <w:rPr>
                      <w:bCs/>
                      <w:color w:val="auto"/>
                      <w:sz w:val="21"/>
                      <w:szCs w:val="21"/>
                    </w:rPr>
                    <w:t>20mg/m</w:t>
                  </w:r>
                  <w:r>
                    <w:rPr>
                      <w:bCs/>
                      <w:color w:val="auto"/>
                      <w:sz w:val="21"/>
                      <w:szCs w:val="21"/>
                      <w:vertAlign w:val="superscript"/>
                    </w:rPr>
                    <w:t>3</w:t>
                  </w:r>
                  <w:r>
                    <w:rPr>
                      <w:rFonts w:hint="eastAsia"/>
                      <w:bCs/>
                      <w:color w:val="auto"/>
                      <w:sz w:val="21"/>
                      <w:szCs w:val="21"/>
                    </w:rPr>
                    <w:t>（监控点处任意一次浓度值）</w:t>
                  </w:r>
                </w:p>
              </w:tc>
            </w:tr>
          </w:tbl>
          <w:p>
            <w:pPr>
              <w:adjustRightInd w:val="0"/>
              <w:spacing w:line="360" w:lineRule="auto"/>
              <w:ind w:firstLine="482" w:firstLineChars="200"/>
              <w:jc w:val="both"/>
              <w:rPr>
                <w:b w:val="0"/>
                <w:bCs w:val="0"/>
                <w:color w:val="auto"/>
                <w:sz w:val="24"/>
                <w:szCs w:val="24"/>
              </w:rPr>
            </w:pPr>
            <w:r>
              <w:rPr>
                <w:rFonts w:hint="eastAsia"/>
                <w:b/>
                <w:color w:val="auto"/>
                <w:kern w:val="2"/>
                <w:sz w:val="24"/>
                <w:szCs w:val="24"/>
              </w:rPr>
              <w:t>（</w:t>
            </w:r>
            <w:r>
              <w:rPr>
                <w:rFonts w:hint="eastAsia"/>
                <w:b/>
                <w:color w:val="auto"/>
                <w:kern w:val="2"/>
                <w:sz w:val="24"/>
                <w:szCs w:val="24"/>
                <w:lang w:val="en-US" w:eastAsia="zh-CN"/>
              </w:rPr>
              <w:t>3</w:t>
            </w:r>
            <w:r>
              <w:rPr>
                <w:rFonts w:hint="eastAsia"/>
                <w:b/>
                <w:color w:val="auto"/>
                <w:kern w:val="2"/>
                <w:sz w:val="24"/>
                <w:szCs w:val="24"/>
              </w:rPr>
              <w:t>）卫生防护距离</w:t>
            </w:r>
          </w:p>
          <w:p>
            <w:pPr>
              <w:adjustRightInd w:val="0"/>
              <w:spacing w:line="360" w:lineRule="auto"/>
              <w:ind w:firstLine="480" w:firstLineChars="200"/>
              <w:jc w:val="both"/>
              <w:rPr>
                <w:rFonts w:ascii="Times New Roman" w:hAnsi="Times New Roman"/>
                <w:b w:val="0"/>
                <w:bCs w:val="0"/>
                <w:color w:val="auto"/>
                <w:spacing w:val="-3"/>
                <w:sz w:val="24"/>
                <w:szCs w:val="32"/>
              </w:rPr>
            </w:pPr>
            <w:r>
              <w:rPr>
                <w:b w:val="0"/>
                <w:bCs w:val="0"/>
                <w:color w:val="auto"/>
                <w:sz w:val="24"/>
                <w:szCs w:val="24"/>
              </w:rPr>
              <w:t>现有厂区</w:t>
            </w:r>
            <w:r>
              <w:rPr>
                <w:rFonts w:ascii="Times New Roman" w:hAnsi="Times New Roman"/>
                <w:b w:val="0"/>
                <w:bCs w:val="0"/>
                <w:color w:val="auto"/>
                <w:spacing w:val="-7"/>
                <w:sz w:val="24"/>
                <w:szCs w:val="32"/>
              </w:rPr>
              <w:t>以</w:t>
            </w:r>
            <w:r>
              <w:rPr>
                <w:rFonts w:hint="eastAsia"/>
                <w:b w:val="0"/>
                <w:bCs w:val="0"/>
                <w:color w:val="auto"/>
                <w:spacing w:val="-7"/>
                <w:sz w:val="24"/>
                <w:szCs w:val="32"/>
                <w:lang w:val="en-US" w:eastAsia="zh-CN"/>
              </w:rPr>
              <w:t>厂房</w:t>
            </w:r>
            <w:r>
              <w:rPr>
                <w:rFonts w:ascii="Times New Roman" w:hAnsi="Times New Roman"/>
                <w:b w:val="0"/>
                <w:bCs w:val="0"/>
                <w:color w:val="auto"/>
                <w:spacing w:val="-7"/>
                <w:sz w:val="24"/>
                <w:szCs w:val="32"/>
              </w:rPr>
              <w:t>边界</w:t>
            </w:r>
            <w:r>
              <w:rPr>
                <w:rFonts w:hint="eastAsia" w:ascii="Times New Roman" w:hAnsi="Times New Roman"/>
                <w:b w:val="0"/>
                <w:bCs w:val="0"/>
                <w:color w:val="auto"/>
                <w:spacing w:val="-7"/>
                <w:sz w:val="24"/>
                <w:szCs w:val="32"/>
              </w:rPr>
              <w:t>50</w:t>
            </w:r>
            <w:r>
              <w:rPr>
                <w:rFonts w:ascii="Times New Roman" w:hAnsi="Times New Roman"/>
                <w:b w:val="0"/>
                <w:bCs w:val="0"/>
                <w:color w:val="auto"/>
                <w:spacing w:val="-7"/>
                <w:sz w:val="24"/>
                <w:szCs w:val="32"/>
              </w:rPr>
              <w:t>m</w:t>
            </w:r>
            <w:r>
              <w:rPr>
                <w:rFonts w:hint="eastAsia" w:ascii="Times New Roman" w:hAnsi="Times New Roman"/>
                <w:b w:val="0"/>
                <w:bCs w:val="0"/>
                <w:color w:val="auto"/>
                <w:spacing w:val="-7"/>
                <w:sz w:val="24"/>
                <w:szCs w:val="32"/>
              </w:rPr>
              <w:t>划定</w:t>
            </w:r>
            <w:r>
              <w:rPr>
                <w:rFonts w:ascii="Times New Roman" w:hAnsi="Times New Roman"/>
                <w:b w:val="0"/>
                <w:bCs w:val="0"/>
                <w:color w:val="auto"/>
                <w:spacing w:val="-7"/>
                <w:sz w:val="24"/>
                <w:szCs w:val="32"/>
              </w:rPr>
              <w:t>为卫生防护距离</w:t>
            </w:r>
            <w:r>
              <w:rPr>
                <w:rFonts w:hint="eastAsia"/>
                <w:b w:val="0"/>
                <w:bCs w:val="0"/>
                <w:color w:val="auto"/>
                <w:sz w:val="24"/>
                <w:szCs w:val="24"/>
              </w:rPr>
              <w:t>，</w:t>
            </w:r>
            <w:r>
              <w:rPr>
                <w:rFonts w:hint="eastAsia"/>
                <w:b w:val="0"/>
                <w:bCs w:val="0"/>
                <w:color w:val="auto"/>
                <w:sz w:val="24"/>
                <w:szCs w:val="24"/>
                <w:lang w:eastAsia="zh-CN"/>
              </w:rPr>
              <w:t>本项目圆织生产线不新增污染物，且无废气产生</w:t>
            </w:r>
            <w:r>
              <w:rPr>
                <w:rFonts w:ascii="Times New Roman" w:hAnsi="Times New Roman"/>
                <w:b w:val="0"/>
                <w:bCs w:val="0"/>
                <w:color w:val="auto"/>
                <w:spacing w:val="-7"/>
                <w:sz w:val="24"/>
                <w:szCs w:val="32"/>
              </w:rPr>
              <w:t>，故卫生防护距离</w:t>
            </w:r>
            <w:r>
              <w:rPr>
                <w:rFonts w:hint="eastAsia"/>
                <w:b w:val="0"/>
                <w:bCs w:val="0"/>
                <w:color w:val="auto"/>
                <w:spacing w:val="-7"/>
                <w:sz w:val="24"/>
                <w:szCs w:val="32"/>
                <w:lang w:val="en-US" w:eastAsia="zh-CN"/>
              </w:rPr>
              <w:t>不变</w:t>
            </w:r>
            <w:r>
              <w:rPr>
                <w:rFonts w:ascii="Times New Roman" w:hAnsi="Times New Roman"/>
                <w:b w:val="0"/>
                <w:bCs w:val="0"/>
                <w:color w:val="auto"/>
                <w:spacing w:val="-7"/>
                <w:sz w:val="24"/>
                <w:szCs w:val="32"/>
              </w:rPr>
              <w:t>。本项目卫生防护距离内无居民住宅、学校、</w:t>
            </w:r>
            <w:r>
              <w:rPr>
                <w:rFonts w:ascii="Times New Roman" w:hAnsi="Times New Roman"/>
                <w:b w:val="0"/>
                <w:bCs w:val="0"/>
                <w:color w:val="auto"/>
                <w:spacing w:val="-3"/>
                <w:sz w:val="24"/>
                <w:szCs w:val="32"/>
              </w:rPr>
              <w:t>医院等对环境质量要求较高的敏感目标，符合卫生防护距离的要求。环评要求：在卫生防护距离范围内，</w:t>
            </w:r>
            <w:r>
              <w:rPr>
                <w:rFonts w:hint="eastAsia" w:ascii="Times New Roman" w:hAnsi="Times New Roman"/>
                <w:b w:val="0"/>
                <w:bCs w:val="0"/>
                <w:color w:val="auto"/>
                <w:spacing w:val="-3"/>
                <w:sz w:val="24"/>
                <w:szCs w:val="32"/>
              </w:rPr>
              <w:t>不</w:t>
            </w:r>
            <w:r>
              <w:rPr>
                <w:rFonts w:hint="eastAsia" w:ascii="Times New Roman" w:hAnsi="Times New Roman"/>
                <w:b w:val="0"/>
                <w:bCs w:val="0"/>
                <w:color w:val="auto"/>
                <w:spacing w:val="-3"/>
                <w:sz w:val="24"/>
                <w:szCs w:val="32"/>
                <w:lang w:val="en-US" w:eastAsia="zh-CN"/>
              </w:rPr>
              <w:t>得</w:t>
            </w:r>
            <w:r>
              <w:rPr>
                <w:rFonts w:ascii="Times New Roman" w:hAnsi="Times New Roman"/>
                <w:b w:val="0"/>
                <w:bCs w:val="0"/>
                <w:color w:val="auto"/>
                <w:spacing w:val="-3"/>
                <w:sz w:val="24"/>
                <w:szCs w:val="32"/>
              </w:rPr>
              <w:t>新进食品厂、自来水厂等为外环境要求较高的企业、医院、学校、居民区等敏感点。</w:t>
            </w:r>
          </w:p>
          <w:p>
            <w:pPr>
              <w:adjustRightInd w:val="0"/>
              <w:spacing w:line="360" w:lineRule="auto"/>
              <w:ind w:firstLine="480" w:firstLineChars="200"/>
              <w:jc w:val="both"/>
              <w:rPr>
                <w:rFonts w:ascii="Times New Roman" w:hAnsi="Times New Roman"/>
                <w:b w:val="0"/>
                <w:bCs w:val="0"/>
                <w:color w:val="auto"/>
                <w:sz w:val="24"/>
                <w:szCs w:val="24"/>
              </w:rPr>
            </w:pPr>
            <w:r>
              <w:rPr>
                <w:rFonts w:ascii="Times New Roman" w:hAnsi="Times New Roman"/>
                <w:b w:val="0"/>
                <w:bCs w:val="0"/>
                <w:color w:val="auto"/>
                <w:sz w:val="24"/>
                <w:szCs w:val="32"/>
              </w:rPr>
              <w:t>综上所述，本项目对区域大气环境质量影响甚小</w:t>
            </w:r>
            <w:r>
              <w:rPr>
                <w:rFonts w:hint="eastAsia" w:ascii="Times New Roman" w:hAnsi="Times New Roman"/>
                <w:b w:val="0"/>
                <w:bCs w:val="0"/>
                <w:color w:val="auto"/>
                <w:sz w:val="24"/>
                <w:szCs w:val="24"/>
              </w:rPr>
              <w:t>。</w:t>
            </w:r>
          </w:p>
          <w:p>
            <w:pPr>
              <w:numPr>
                <w:ilvl w:val="0"/>
                <w:numId w:val="8"/>
              </w:numPr>
              <w:spacing w:line="360" w:lineRule="auto"/>
              <w:rPr>
                <w:b/>
                <w:bCs/>
                <w:color w:val="auto"/>
                <w:sz w:val="24"/>
                <w:szCs w:val="24"/>
              </w:rPr>
            </w:pPr>
            <w:r>
              <w:rPr>
                <w:b/>
                <w:bCs/>
                <w:color w:val="auto"/>
                <w:sz w:val="24"/>
                <w:szCs w:val="24"/>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color w:val="auto"/>
                <w:sz w:val="24"/>
                <w:szCs w:val="24"/>
              </w:rPr>
            </w:pPr>
            <w:r>
              <w:rPr>
                <w:rFonts w:hint="eastAsia"/>
                <w:b/>
                <w:bCs/>
                <w:color w:val="auto"/>
                <w:sz w:val="24"/>
                <w:szCs w:val="24"/>
                <w:lang w:eastAsia="zh-CN"/>
              </w:rPr>
              <w:t>（</w:t>
            </w:r>
            <w:r>
              <w:rPr>
                <w:rFonts w:hint="eastAsia"/>
                <w:b/>
                <w:bCs/>
                <w:color w:val="auto"/>
                <w:sz w:val="24"/>
                <w:szCs w:val="24"/>
                <w:lang w:val="en-US" w:eastAsia="zh-CN"/>
              </w:rPr>
              <w:t>1</w:t>
            </w:r>
            <w:r>
              <w:rPr>
                <w:rFonts w:hint="eastAsia"/>
                <w:b/>
                <w:bCs/>
                <w:color w:val="auto"/>
                <w:sz w:val="24"/>
                <w:szCs w:val="24"/>
                <w:lang w:eastAsia="zh-CN"/>
              </w:rPr>
              <w:t>）</w:t>
            </w:r>
            <w:r>
              <w:rPr>
                <w:b/>
                <w:bCs/>
                <w:color w:val="auto"/>
                <w:sz w:val="24"/>
                <w:szCs w:val="24"/>
              </w:rPr>
              <w:t>污染物源强分析与治理措施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①生活废水</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default" w:ascii="Times New Roman" w:hAnsi="Times New Roman" w:cs="Times New Roman"/>
                <w:color w:val="auto"/>
                <w:sz w:val="24"/>
                <w:szCs w:val="24"/>
                <w:highlight w:val="none"/>
              </w:rPr>
              <w:t>本次</w:t>
            </w:r>
            <w:r>
              <w:rPr>
                <w:rFonts w:hint="default" w:ascii="Times New Roman" w:hAnsi="Times New Roman" w:eastAsia="宋体" w:cs="Times New Roman"/>
                <w:color w:val="auto"/>
                <w:sz w:val="24"/>
                <w:szCs w:val="24"/>
                <w:highlight w:val="none"/>
              </w:rPr>
              <w:t>技改</w:t>
            </w:r>
            <w:r>
              <w:rPr>
                <w:rFonts w:hint="eastAsia" w:ascii="Times New Roman" w:hAnsi="Times New Roman" w:eastAsia="宋体" w:cs="Times New Roman"/>
                <w:color w:val="auto"/>
                <w:sz w:val="24"/>
                <w:szCs w:val="24"/>
                <w:highlight w:val="none"/>
                <w:lang w:val="en-US" w:eastAsia="zh-CN"/>
              </w:rPr>
              <w:t>劳动定员</w:t>
            </w:r>
            <w:r>
              <w:rPr>
                <w:rFonts w:hint="eastAsia" w:cs="Times New Roman"/>
                <w:color w:val="auto"/>
                <w:sz w:val="24"/>
                <w:szCs w:val="24"/>
                <w:highlight w:val="none"/>
                <w:lang w:val="en-US" w:eastAsia="zh-CN"/>
              </w:rPr>
              <w:t>不变，则生活废水产排量不变</w:t>
            </w:r>
            <w:r>
              <w:rPr>
                <w:rFonts w:hint="eastAsia" w:ascii="Times New Roman" w:hAnsi="Times New Roman" w:cs="Times New Roman"/>
                <w:color w:val="auto"/>
                <w:sz w:val="24"/>
                <w:szCs w:val="24"/>
                <w:highlight w:val="none"/>
                <w:lang w:val="en-US" w:eastAsia="zh-CN"/>
              </w:rPr>
              <w:t>。技改后全厂</w:t>
            </w:r>
            <w:r>
              <w:rPr>
                <w:rFonts w:ascii="Times New Roman" w:hAnsi="Times New Roman"/>
                <w:color w:val="auto"/>
                <w:sz w:val="24"/>
                <w:szCs w:val="24"/>
                <w:highlight w:val="none"/>
              </w:rPr>
              <w:t>生活</w:t>
            </w:r>
            <w:r>
              <w:rPr>
                <w:rFonts w:hint="eastAsia" w:ascii="Times New Roman" w:hAnsi="Times New Roman"/>
                <w:color w:val="auto"/>
                <w:sz w:val="24"/>
                <w:szCs w:val="24"/>
                <w:highlight w:val="none"/>
                <w:lang w:val="en-US" w:eastAsia="zh-CN"/>
              </w:rPr>
              <w:t>用水为</w:t>
            </w:r>
            <w:r>
              <w:rPr>
                <w:rFonts w:hint="eastAsia"/>
                <w:color w:val="auto"/>
                <w:sz w:val="24"/>
                <w:szCs w:val="24"/>
                <w:highlight w:val="none"/>
                <w:lang w:val="en-US" w:eastAsia="zh-CN"/>
              </w:rPr>
              <w:t>6</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/d，污水排放量为</w:t>
            </w:r>
            <w:r>
              <w:rPr>
                <w:rFonts w:hint="eastAsia" w:cs="Times New Roman"/>
                <w:color w:val="auto"/>
                <w:sz w:val="24"/>
                <w:szCs w:val="24"/>
                <w:highlight w:val="none"/>
                <w:lang w:val="en-US" w:eastAsia="zh-CN"/>
              </w:rPr>
              <w:t>4.8</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w:t>
            </w:r>
            <w:r>
              <w:rPr>
                <w:rFonts w:ascii="Times New Roman" w:hAnsi="Times New Roman"/>
                <w:color w:val="auto"/>
                <w:sz w:val="24"/>
                <w:szCs w:val="24"/>
                <w:highlight w:val="none"/>
              </w:rPr>
              <w:t>经</w:t>
            </w:r>
            <w:r>
              <w:rPr>
                <w:rFonts w:ascii="Times New Roman" w:hAnsi="Times New Roman"/>
                <w:bCs/>
                <w:color w:val="auto"/>
                <w:sz w:val="24"/>
                <w:szCs w:val="24"/>
                <w:highlight w:val="none"/>
              </w:rPr>
              <w:t>63m</w:t>
            </w:r>
            <w:r>
              <w:rPr>
                <w:rFonts w:ascii="Times New Roman" w:hAnsi="Times New Roman"/>
                <w:bCs/>
                <w:color w:val="auto"/>
                <w:sz w:val="24"/>
                <w:szCs w:val="24"/>
                <w:highlight w:val="none"/>
                <w:vertAlign w:val="superscript"/>
              </w:rPr>
              <w:t>3</w:t>
            </w:r>
            <w:r>
              <w:rPr>
                <w:rFonts w:ascii="Times New Roman" w:hAnsi="Times New Roman"/>
                <w:color w:val="auto"/>
                <w:sz w:val="24"/>
                <w:szCs w:val="24"/>
                <w:highlight w:val="none"/>
              </w:rPr>
              <w:t>预处理池处理</w:t>
            </w:r>
            <w:r>
              <w:rPr>
                <w:rFonts w:ascii="Times New Roman" w:hAnsi="Times New Roman"/>
                <w:bCs/>
                <w:color w:val="auto"/>
                <w:sz w:val="24"/>
                <w:szCs w:val="24"/>
                <w:highlight w:val="none"/>
              </w:rPr>
              <w:t>后排入园区污水管网，最终经</w:t>
            </w:r>
            <w:r>
              <w:rPr>
                <w:rFonts w:hint="eastAsia" w:ascii="Times New Roman" w:hAnsi="Times New Roman"/>
                <w:bCs/>
                <w:color w:val="auto"/>
                <w:sz w:val="24"/>
                <w:szCs w:val="24"/>
                <w:highlight w:val="none"/>
                <w:lang w:val="en-US" w:eastAsia="zh-CN"/>
              </w:rPr>
              <w:t>犍为县污水处理厂处理后外排</w:t>
            </w:r>
            <w:r>
              <w:rPr>
                <w:color w:val="auto"/>
                <w:sz w:val="24"/>
                <w:szCs w:val="24"/>
                <w:highlight w:val="none"/>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②生产废水</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lang w:eastAsia="zh-CN"/>
              </w:rPr>
            </w:pPr>
            <w:r>
              <w:rPr>
                <w:rFonts w:hint="eastAsia" w:ascii="Times New Roman" w:hAnsi="Times New Roman"/>
                <w:color w:val="auto"/>
                <w:sz w:val="24"/>
                <w:szCs w:val="24"/>
                <w:lang w:val="en-US" w:eastAsia="zh-CN"/>
              </w:rPr>
              <w:t>清洗及喷淋</w:t>
            </w:r>
            <w:r>
              <w:rPr>
                <w:rFonts w:ascii="Times New Roman" w:hAnsi="Times New Roman"/>
                <w:color w:val="auto"/>
                <w:sz w:val="24"/>
                <w:szCs w:val="24"/>
              </w:rPr>
              <w:t>废水</w:t>
            </w:r>
            <w:r>
              <w:rPr>
                <w:rFonts w:hint="eastAsia" w:ascii="Times New Roman" w:hAnsi="Times New Roman"/>
                <w:color w:val="auto"/>
                <w:sz w:val="24"/>
                <w:szCs w:val="24"/>
                <w:lang w:val="en-US" w:eastAsia="zh-CN"/>
              </w:rPr>
              <w:t>经</w:t>
            </w:r>
            <w:r>
              <w:rPr>
                <w:rFonts w:ascii="Times New Roman" w:hAnsi="Times New Roman"/>
                <w:color w:val="auto"/>
                <w:sz w:val="24"/>
                <w:szCs w:val="24"/>
              </w:rPr>
              <w:t>自建污水处理站处理后循环回用</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定期转运，交由有资质公司处理</w:t>
            </w:r>
            <w:r>
              <w:rPr>
                <w:rFonts w:hint="default" w:ascii="Times New Roman" w:hAnsi="Times New Roman" w:eastAsia="宋体" w:cs="Times New Roman"/>
                <w:color w:val="auto"/>
                <w:sz w:val="24"/>
                <w:szCs w:val="24"/>
                <w:lang w:eastAsia="zh-CN"/>
              </w:rPr>
              <w:t>。</w:t>
            </w:r>
          </w:p>
          <w:p>
            <w:pPr>
              <w:pStyle w:val="29"/>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b w:val="0"/>
                <w:bCs/>
                <w:color w:val="auto"/>
                <w:sz w:val="24"/>
                <w:szCs w:val="24"/>
                <w:u w:val="none"/>
                <w:lang w:val="en-US" w:eastAsia="zh-CN"/>
              </w:rPr>
            </w:pPr>
            <w:r>
              <w:rPr>
                <w:rFonts w:hint="eastAsia" w:ascii="Times New Roman" w:hAnsi="Times New Roman" w:eastAsia="宋体" w:cs="Times New Roman"/>
                <w:b w:val="0"/>
                <w:bCs/>
                <w:color w:val="auto"/>
                <w:sz w:val="24"/>
                <w:szCs w:val="24"/>
                <w:u w:val="none"/>
                <w:lang w:val="en-US" w:eastAsia="zh-CN"/>
              </w:rPr>
              <w:t>拉丝冷却水经冷却塔沉淀处理后循环使用，不外排。</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szCs w:val="24"/>
                <w:lang w:val="en-US"/>
              </w:rPr>
            </w:pPr>
            <w:r>
              <w:rPr>
                <w:rFonts w:hint="eastAsia" w:ascii="Times New Roman" w:hAnsi="Times New Roman" w:eastAsia="宋体"/>
                <w:bCs/>
                <w:color w:val="auto"/>
                <w:sz w:val="24"/>
                <w:szCs w:val="24"/>
                <w:lang w:val="en-US" w:eastAsia="zh-CN"/>
              </w:rPr>
              <w:t>塑料条</w:t>
            </w:r>
            <w:r>
              <w:rPr>
                <w:rFonts w:hint="eastAsia" w:ascii="Times New Roman" w:hAnsi="Times New Roman"/>
                <w:color w:val="auto"/>
                <w:kern w:val="0"/>
                <w:sz w:val="24"/>
                <w:szCs w:val="24"/>
                <w:lang w:val="en-US" w:eastAsia="zh-CN" w:bidi="ar"/>
              </w:rPr>
              <w:t>冷却水经清水池沉淀后循环使用，不外排。</w:t>
            </w:r>
          </w:p>
          <w:p>
            <w:pPr>
              <w:pStyle w:val="10"/>
              <w:spacing w:before="0" w:after="0" w:line="360" w:lineRule="auto"/>
              <w:ind w:right="0" w:firstLine="482" w:firstLineChars="200"/>
              <w:rPr>
                <w:b/>
                <w:bCs/>
                <w:color w:val="auto"/>
                <w:sz w:val="24"/>
                <w:szCs w:val="24"/>
              </w:rPr>
            </w:pPr>
            <w:r>
              <w:rPr>
                <w:b/>
                <w:bCs/>
                <w:color w:val="auto"/>
                <w:sz w:val="24"/>
                <w:szCs w:val="24"/>
              </w:rPr>
              <w:t>（</w:t>
            </w:r>
            <w:r>
              <w:rPr>
                <w:rFonts w:hint="eastAsia"/>
                <w:b/>
                <w:bCs/>
                <w:color w:val="auto"/>
                <w:sz w:val="24"/>
                <w:szCs w:val="24"/>
                <w:lang w:val="en-US" w:eastAsia="zh-CN"/>
              </w:rPr>
              <w:t>2</w:t>
            </w:r>
            <w:r>
              <w:rPr>
                <w:b/>
                <w:bCs/>
                <w:color w:val="auto"/>
                <w:sz w:val="24"/>
                <w:szCs w:val="24"/>
              </w:rPr>
              <w:t>）跟踪监测计划</w:t>
            </w:r>
          </w:p>
          <w:p>
            <w:pPr>
              <w:pStyle w:val="10"/>
              <w:spacing w:before="0" w:after="0" w:line="360" w:lineRule="auto"/>
              <w:ind w:right="0" w:firstLine="480" w:firstLineChars="200"/>
              <w:rPr>
                <w:color w:val="auto"/>
                <w:sz w:val="24"/>
                <w:szCs w:val="24"/>
              </w:rPr>
            </w:pPr>
            <w:r>
              <w:rPr>
                <w:color w:val="auto"/>
                <w:sz w:val="24"/>
                <w:szCs w:val="24"/>
              </w:rPr>
              <w:t>参照《排污单位自行监测指南—总则》（HJ819-2017）以及</w:t>
            </w:r>
            <w:r>
              <w:rPr>
                <w:rFonts w:hint="eastAsia"/>
                <w:color w:val="auto"/>
                <w:sz w:val="24"/>
                <w:szCs w:val="24"/>
              </w:rPr>
              <w:t>《</w:t>
            </w:r>
            <w:r>
              <w:rPr>
                <w:bCs/>
                <w:color w:val="auto"/>
                <w:sz w:val="24"/>
                <w:szCs w:val="24"/>
              </w:rPr>
              <w:t>《排污许可证申请与核发技术规范 废弃资源加工工业》（HJ1034-2019）</w:t>
            </w:r>
            <w:r>
              <w:rPr>
                <w:color w:val="auto"/>
                <w:sz w:val="24"/>
                <w:szCs w:val="24"/>
              </w:rPr>
              <w:t>，环评提出运行期每年应对</w:t>
            </w:r>
            <w:r>
              <w:rPr>
                <w:rFonts w:hint="eastAsia"/>
                <w:color w:val="auto"/>
                <w:sz w:val="24"/>
                <w:szCs w:val="24"/>
                <w:lang w:eastAsia="zh-CN"/>
              </w:rPr>
              <w:t>企业</w:t>
            </w:r>
            <w:r>
              <w:rPr>
                <w:color w:val="auto"/>
                <w:sz w:val="24"/>
                <w:szCs w:val="24"/>
              </w:rPr>
              <w:t>废水污染进行监测，监测计划见下表。</w:t>
            </w:r>
          </w:p>
          <w:p>
            <w:pPr>
              <w:pStyle w:val="10"/>
              <w:spacing w:before="0" w:after="0" w:line="240" w:lineRule="auto"/>
              <w:ind w:right="0" w:firstLine="422" w:firstLineChars="200"/>
              <w:jc w:val="center"/>
              <w:rPr>
                <w:b/>
                <w:bCs/>
                <w:color w:val="auto"/>
                <w:sz w:val="21"/>
                <w:szCs w:val="21"/>
              </w:rPr>
            </w:pPr>
            <w:r>
              <w:rPr>
                <w:rFonts w:hint="eastAsia"/>
                <w:b/>
                <w:bCs/>
                <w:color w:val="auto"/>
                <w:sz w:val="21"/>
                <w:szCs w:val="21"/>
              </w:rPr>
              <w:t>表4-</w:t>
            </w:r>
            <w:r>
              <w:rPr>
                <w:rFonts w:hint="eastAsia"/>
                <w:b/>
                <w:bCs/>
                <w:color w:val="auto"/>
                <w:sz w:val="21"/>
                <w:szCs w:val="21"/>
                <w:lang w:val="en-US" w:eastAsia="zh-CN"/>
              </w:rPr>
              <w:t xml:space="preserve">2 </w:t>
            </w:r>
            <w:r>
              <w:rPr>
                <w:rFonts w:hint="eastAsia"/>
                <w:b/>
                <w:bCs/>
                <w:color w:val="auto"/>
                <w:sz w:val="21"/>
                <w:szCs w:val="21"/>
              </w:rPr>
              <w:t>废水跟踪监测计划表</w:t>
            </w:r>
          </w:p>
          <w:tbl>
            <w:tblPr>
              <w:tblStyle w:val="30"/>
              <w:tblW w:w="858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1582"/>
              <w:gridCol w:w="2225"/>
              <w:gridCol w:w="1320"/>
              <w:gridCol w:w="21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DCE6F2"/>
                  <w:noWrap w:val="0"/>
                  <w:vAlign w:val="center"/>
                </w:tcPr>
                <w:p>
                  <w:pPr>
                    <w:pStyle w:val="10"/>
                    <w:spacing w:before="0" w:after="0" w:line="240" w:lineRule="auto"/>
                    <w:ind w:right="0"/>
                    <w:jc w:val="center"/>
                    <w:rPr>
                      <w:b/>
                      <w:bCs/>
                      <w:color w:val="auto"/>
                      <w:sz w:val="21"/>
                      <w:szCs w:val="21"/>
                    </w:rPr>
                  </w:pPr>
                  <w:r>
                    <w:rPr>
                      <w:rFonts w:hint="eastAsia"/>
                      <w:b/>
                      <w:bCs/>
                      <w:color w:val="auto"/>
                      <w:sz w:val="21"/>
                      <w:szCs w:val="21"/>
                    </w:rPr>
                    <w:t>类型</w:t>
                  </w:r>
                </w:p>
              </w:tc>
              <w:tc>
                <w:tcPr>
                  <w:tcW w:w="1582" w:type="dxa"/>
                  <w:shd w:val="clear" w:color="auto" w:fill="DCE6F2"/>
                  <w:noWrap w:val="0"/>
                  <w:vAlign w:val="center"/>
                </w:tcPr>
                <w:p>
                  <w:pPr>
                    <w:pStyle w:val="10"/>
                    <w:spacing w:before="0" w:after="0" w:line="240" w:lineRule="auto"/>
                    <w:ind w:right="0"/>
                    <w:jc w:val="center"/>
                    <w:rPr>
                      <w:b/>
                      <w:bCs/>
                      <w:color w:val="auto"/>
                      <w:sz w:val="21"/>
                      <w:szCs w:val="21"/>
                    </w:rPr>
                  </w:pPr>
                  <w:r>
                    <w:rPr>
                      <w:rFonts w:hint="eastAsia"/>
                      <w:b/>
                      <w:bCs/>
                      <w:color w:val="auto"/>
                      <w:sz w:val="21"/>
                      <w:szCs w:val="21"/>
                    </w:rPr>
                    <w:t>监测点位</w:t>
                  </w:r>
                </w:p>
              </w:tc>
              <w:tc>
                <w:tcPr>
                  <w:tcW w:w="2225" w:type="dxa"/>
                  <w:shd w:val="clear" w:color="auto" w:fill="DCE6F2"/>
                  <w:noWrap w:val="0"/>
                  <w:vAlign w:val="center"/>
                </w:tcPr>
                <w:p>
                  <w:pPr>
                    <w:pStyle w:val="10"/>
                    <w:spacing w:before="0" w:after="0" w:line="240" w:lineRule="auto"/>
                    <w:ind w:right="0"/>
                    <w:jc w:val="center"/>
                    <w:rPr>
                      <w:b/>
                      <w:bCs/>
                      <w:color w:val="auto"/>
                      <w:sz w:val="21"/>
                      <w:szCs w:val="21"/>
                    </w:rPr>
                  </w:pPr>
                  <w:r>
                    <w:rPr>
                      <w:rFonts w:hint="eastAsia"/>
                      <w:b/>
                      <w:bCs/>
                      <w:color w:val="auto"/>
                      <w:sz w:val="21"/>
                      <w:szCs w:val="21"/>
                    </w:rPr>
                    <w:t>监测指标</w:t>
                  </w:r>
                </w:p>
              </w:tc>
              <w:tc>
                <w:tcPr>
                  <w:tcW w:w="1320" w:type="dxa"/>
                  <w:shd w:val="clear" w:color="auto" w:fill="DCE6F2"/>
                  <w:noWrap w:val="0"/>
                  <w:vAlign w:val="center"/>
                </w:tcPr>
                <w:p>
                  <w:pPr>
                    <w:pStyle w:val="10"/>
                    <w:spacing w:before="0" w:after="0" w:line="240" w:lineRule="auto"/>
                    <w:ind w:right="0"/>
                    <w:jc w:val="center"/>
                    <w:rPr>
                      <w:b/>
                      <w:bCs/>
                      <w:color w:val="auto"/>
                      <w:sz w:val="21"/>
                      <w:szCs w:val="21"/>
                    </w:rPr>
                  </w:pPr>
                  <w:r>
                    <w:rPr>
                      <w:rFonts w:hint="eastAsia"/>
                      <w:b/>
                      <w:bCs/>
                      <w:color w:val="auto"/>
                      <w:sz w:val="21"/>
                      <w:szCs w:val="21"/>
                    </w:rPr>
                    <w:t>监测频次</w:t>
                  </w:r>
                </w:p>
              </w:tc>
              <w:tc>
                <w:tcPr>
                  <w:tcW w:w="2116" w:type="dxa"/>
                  <w:shd w:val="clear" w:color="auto" w:fill="DCE6F2"/>
                  <w:noWrap w:val="0"/>
                  <w:vAlign w:val="center"/>
                </w:tcPr>
                <w:p>
                  <w:pPr>
                    <w:pStyle w:val="10"/>
                    <w:spacing w:before="0" w:after="0" w:line="240" w:lineRule="auto"/>
                    <w:ind w:right="0"/>
                    <w:jc w:val="center"/>
                    <w:rPr>
                      <w:b/>
                      <w:bCs/>
                      <w:color w:val="auto"/>
                      <w:sz w:val="21"/>
                      <w:szCs w:val="21"/>
                    </w:rPr>
                  </w:pPr>
                  <w:r>
                    <w:rPr>
                      <w:rFonts w:hint="eastAsia"/>
                      <w:b/>
                      <w:bCs/>
                      <w:color w:val="auto"/>
                      <w:sz w:val="21"/>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5" w:type="dxa"/>
                  <w:noWrap w:val="0"/>
                  <w:vAlign w:val="center"/>
                </w:tcPr>
                <w:p>
                  <w:pPr>
                    <w:pStyle w:val="10"/>
                    <w:spacing w:before="0" w:after="0" w:line="240" w:lineRule="auto"/>
                    <w:ind w:right="0"/>
                    <w:jc w:val="center"/>
                    <w:rPr>
                      <w:color w:val="auto"/>
                      <w:sz w:val="21"/>
                      <w:szCs w:val="21"/>
                    </w:rPr>
                  </w:pPr>
                  <w:r>
                    <w:rPr>
                      <w:rFonts w:hint="eastAsia"/>
                      <w:color w:val="auto"/>
                      <w:sz w:val="21"/>
                      <w:szCs w:val="21"/>
                    </w:rPr>
                    <w:t>废水</w:t>
                  </w:r>
                </w:p>
              </w:tc>
              <w:tc>
                <w:tcPr>
                  <w:tcW w:w="1582" w:type="dxa"/>
                  <w:noWrap w:val="0"/>
                  <w:vAlign w:val="center"/>
                </w:tcPr>
                <w:p>
                  <w:pPr>
                    <w:pStyle w:val="10"/>
                    <w:spacing w:before="0" w:after="0" w:line="240" w:lineRule="auto"/>
                    <w:ind w:right="0"/>
                    <w:jc w:val="center"/>
                    <w:rPr>
                      <w:color w:val="auto"/>
                      <w:sz w:val="21"/>
                      <w:szCs w:val="21"/>
                    </w:rPr>
                  </w:pPr>
                  <w:r>
                    <w:rPr>
                      <w:rFonts w:hint="eastAsia"/>
                      <w:color w:val="auto"/>
                      <w:sz w:val="21"/>
                      <w:szCs w:val="21"/>
                    </w:rPr>
                    <w:t>DW001</w:t>
                  </w:r>
                </w:p>
              </w:tc>
              <w:tc>
                <w:tcPr>
                  <w:tcW w:w="2225" w:type="dxa"/>
                  <w:noWrap w:val="0"/>
                  <w:vAlign w:val="center"/>
                </w:tcPr>
                <w:p>
                  <w:pPr>
                    <w:pStyle w:val="10"/>
                    <w:spacing w:before="0" w:after="0" w:line="240" w:lineRule="auto"/>
                    <w:ind w:right="0"/>
                    <w:jc w:val="center"/>
                    <w:rPr>
                      <w:rFonts w:hint="eastAsia"/>
                      <w:color w:val="auto"/>
                      <w:sz w:val="21"/>
                      <w:szCs w:val="21"/>
                    </w:rPr>
                  </w:pPr>
                  <w:r>
                    <w:rPr>
                      <w:color w:val="auto"/>
                      <w:sz w:val="21"/>
                      <w:szCs w:val="21"/>
                    </w:rPr>
                    <w:t>pH、COD</w:t>
                  </w:r>
                  <w:r>
                    <w:rPr>
                      <w:color w:val="auto"/>
                      <w:sz w:val="21"/>
                      <w:szCs w:val="21"/>
                      <w:vertAlign w:val="subscript"/>
                    </w:rPr>
                    <w:t>cr</w:t>
                  </w:r>
                  <w:r>
                    <w:rPr>
                      <w:color w:val="auto"/>
                      <w:sz w:val="21"/>
                      <w:szCs w:val="21"/>
                    </w:rPr>
                    <w:t>、BOD</w:t>
                  </w:r>
                  <w:r>
                    <w:rPr>
                      <w:rFonts w:hint="eastAsia"/>
                      <w:color w:val="auto"/>
                      <w:sz w:val="21"/>
                      <w:szCs w:val="21"/>
                      <w:vertAlign w:val="subscript"/>
                    </w:rPr>
                    <w:t>5</w:t>
                  </w:r>
                  <w:r>
                    <w:rPr>
                      <w:color w:val="auto"/>
                      <w:sz w:val="21"/>
                      <w:szCs w:val="21"/>
                    </w:rPr>
                    <w:t>、NH</w:t>
                  </w:r>
                  <w:r>
                    <w:rPr>
                      <w:color w:val="auto"/>
                      <w:sz w:val="21"/>
                      <w:szCs w:val="21"/>
                      <w:vertAlign w:val="subscript"/>
                    </w:rPr>
                    <w:t>3</w:t>
                  </w:r>
                  <w:r>
                    <w:rPr>
                      <w:color w:val="auto"/>
                      <w:sz w:val="21"/>
                      <w:szCs w:val="21"/>
                    </w:rPr>
                    <w:t>-N、</w:t>
                  </w:r>
                  <w:r>
                    <w:rPr>
                      <w:rFonts w:hint="eastAsia"/>
                      <w:color w:val="auto"/>
                      <w:sz w:val="21"/>
                      <w:szCs w:val="21"/>
                    </w:rPr>
                    <w:t>TN、</w:t>
                  </w:r>
                  <w:r>
                    <w:rPr>
                      <w:color w:val="auto"/>
                      <w:sz w:val="21"/>
                      <w:szCs w:val="21"/>
                    </w:rPr>
                    <w:t>动植物油、SS、TP、石油类</w:t>
                  </w:r>
                </w:p>
              </w:tc>
              <w:tc>
                <w:tcPr>
                  <w:tcW w:w="1320" w:type="dxa"/>
                  <w:noWrap w:val="0"/>
                  <w:vAlign w:val="center"/>
                </w:tcPr>
                <w:p>
                  <w:pPr>
                    <w:pStyle w:val="10"/>
                    <w:spacing w:before="0" w:after="0" w:line="240" w:lineRule="auto"/>
                    <w:ind w:right="0"/>
                    <w:jc w:val="center"/>
                    <w:rPr>
                      <w:color w:val="auto"/>
                      <w:sz w:val="21"/>
                      <w:szCs w:val="21"/>
                    </w:rPr>
                  </w:pPr>
                  <w:r>
                    <w:rPr>
                      <w:rFonts w:hint="eastAsia"/>
                      <w:color w:val="auto"/>
                      <w:sz w:val="21"/>
                      <w:szCs w:val="21"/>
                    </w:rPr>
                    <w:t>每</w:t>
                  </w:r>
                  <w:r>
                    <w:rPr>
                      <w:rFonts w:hint="eastAsia"/>
                      <w:color w:val="auto"/>
                      <w:sz w:val="21"/>
                      <w:szCs w:val="21"/>
                      <w:lang w:eastAsia="zh-CN"/>
                    </w:rPr>
                    <w:t>年</w:t>
                  </w:r>
                  <w:r>
                    <w:rPr>
                      <w:rFonts w:hint="eastAsia"/>
                      <w:color w:val="auto"/>
                      <w:sz w:val="21"/>
                      <w:szCs w:val="21"/>
                    </w:rPr>
                    <w:t>一次</w:t>
                  </w:r>
                </w:p>
              </w:tc>
              <w:tc>
                <w:tcPr>
                  <w:tcW w:w="2116" w:type="dxa"/>
                  <w:noWrap w:val="0"/>
                  <w:vAlign w:val="center"/>
                </w:tcPr>
                <w:p>
                  <w:pPr>
                    <w:pStyle w:val="10"/>
                    <w:spacing w:before="0" w:after="0" w:line="240" w:lineRule="auto"/>
                    <w:ind w:right="0"/>
                    <w:jc w:val="center"/>
                    <w:rPr>
                      <w:color w:val="auto"/>
                      <w:sz w:val="21"/>
                      <w:szCs w:val="21"/>
                    </w:rPr>
                  </w:pPr>
                  <w:r>
                    <w:rPr>
                      <w:b w:val="0"/>
                      <w:bCs w:val="0"/>
                      <w:color w:val="auto"/>
                      <w:sz w:val="21"/>
                      <w:szCs w:val="21"/>
                    </w:rPr>
                    <w:t>《污水综合排放标准》（GB8978-1996）三级排放标准</w:t>
                  </w:r>
                </w:p>
              </w:tc>
            </w:tr>
          </w:tbl>
          <w:p>
            <w:pPr>
              <w:keepNext w:val="0"/>
              <w:keepLines w:val="0"/>
              <w:pageBreakBefore w:val="0"/>
              <w:numPr>
                <w:ilvl w:val="0"/>
                <w:numId w:val="0"/>
              </w:numPr>
              <w:kinsoku/>
              <w:wordWrap/>
              <w:overflowPunct/>
              <w:topLinePunct w:val="0"/>
              <w:autoSpaceDE/>
              <w:autoSpaceDN/>
              <w:bidi w:val="0"/>
              <w:adjustRightInd/>
              <w:spacing w:line="360" w:lineRule="auto"/>
              <w:textAlignment w:val="auto"/>
              <w:rPr>
                <w:b/>
                <w:color w:val="auto"/>
                <w:sz w:val="24"/>
                <w:szCs w:val="24"/>
              </w:rPr>
            </w:pPr>
            <w:r>
              <w:rPr>
                <w:rFonts w:hint="eastAsia"/>
                <w:b/>
                <w:color w:val="auto"/>
                <w:sz w:val="24"/>
                <w:szCs w:val="24"/>
                <w:lang w:val="en-US" w:eastAsia="zh-CN"/>
              </w:rPr>
              <w:t>3、</w:t>
            </w:r>
            <w:r>
              <w:rPr>
                <w:b/>
                <w:color w:val="auto"/>
                <w:sz w:val="24"/>
                <w:szCs w:val="24"/>
              </w:rPr>
              <w:t>噪声</w:t>
            </w:r>
          </w:p>
          <w:p>
            <w:pPr>
              <w:pStyle w:val="10"/>
              <w:keepNext w:val="0"/>
              <w:keepLines w:val="0"/>
              <w:pageBreakBefore w:val="0"/>
              <w:kinsoku/>
              <w:wordWrap/>
              <w:overflowPunct/>
              <w:topLinePunct w:val="0"/>
              <w:autoSpaceDE/>
              <w:autoSpaceDN/>
              <w:bidi w:val="0"/>
              <w:adjustRightInd/>
              <w:spacing w:before="0" w:after="0" w:line="360" w:lineRule="auto"/>
              <w:ind w:right="0" w:firstLine="482" w:firstLineChars="200"/>
              <w:textAlignment w:val="auto"/>
              <w:rPr>
                <w:color w:val="auto"/>
                <w:sz w:val="24"/>
                <w:szCs w:val="24"/>
              </w:rPr>
            </w:pPr>
            <w:r>
              <w:rPr>
                <w:rFonts w:hint="eastAsia"/>
                <w:b/>
                <w:bCs/>
                <w:color w:val="auto"/>
                <w:sz w:val="24"/>
                <w:szCs w:val="24"/>
              </w:rPr>
              <w:t>（1）</w:t>
            </w:r>
            <w:r>
              <w:rPr>
                <w:b/>
                <w:color w:val="auto"/>
                <w:sz w:val="24"/>
                <w:szCs w:val="24"/>
              </w:rPr>
              <w:t>源强分析与治理措施</w:t>
            </w:r>
          </w:p>
          <w:p>
            <w:pPr>
              <w:adjustRightIn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w:t>
            </w:r>
            <w:r>
              <w:rPr>
                <w:rFonts w:hint="eastAsia" w:ascii="Times New Roman" w:hAnsi="Times New Roman"/>
                <w:color w:val="auto"/>
                <w:sz w:val="24"/>
                <w:szCs w:val="24"/>
                <w:lang w:val="en-US" w:eastAsia="zh-CN"/>
              </w:rPr>
              <w:t>次技改，</w:t>
            </w:r>
            <w:r>
              <w:rPr>
                <w:rFonts w:ascii="Times New Roman" w:hAnsi="Times New Roman"/>
                <w:color w:val="auto"/>
                <w:sz w:val="24"/>
                <w:szCs w:val="24"/>
              </w:rPr>
              <w:t>项目运营期</w:t>
            </w:r>
            <w:r>
              <w:rPr>
                <w:rFonts w:hint="eastAsia" w:ascii="Times New Roman" w:hAnsi="Times New Roman"/>
                <w:color w:val="auto"/>
                <w:sz w:val="24"/>
                <w:szCs w:val="24"/>
                <w:lang w:val="en-US" w:eastAsia="zh-CN"/>
              </w:rPr>
              <w:t>噪</w:t>
            </w:r>
            <w:r>
              <w:rPr>
                <w:rFonts w:ascii="Times New Roman" w:hAnsi="Times New Roman"/>
                <w:color w:val="auto"/>
                <w:sz w:val="24"/>
                <w:szCs w:val="24"/>
              </w:rPr>
              <w:t>声源</w:t>
            </w:r>
            <w:r>
              <w:rPr>
                <w:rFonts w:hint="eastAsia" w:ascii="Times New Roman" w:hAnsi="Times New Roman"/>
                <w:color w:val="auto"/>
                <w:sz w:val="24"/>
                <w:szCs w:val="24"/>
                <w:lang w:val="en-US" w:eastAsia="zh-CN"/>
              </w:rPr>
              <w:t>增加</w:t>
            </w:r>
            <w:r>
              <w:rPr>
                <w:rFonts w:ascii="Times New Roman" w:hAnsi="Times New Roman"/>
                <w:color w:val="auto"/>
                <w:sz w:val="24"/>
                <w:szCs w:val="24"/>
              </w:rPr>
              <w:t>主要为</w:t>
            </w:r>
            <w:r>
              <w:rPr>
                <w:rFonts w:hint="eastAsia" w:ascii="Times New Roman" w:hAnsi="Times New Roman"/>
                <w:color w:val="auto"/>
                <w:sz w:val="24"/>
                <w:szCs w:val="24"/>
                <w:lang w:val="en-US" w:eastAsia="zh-CN"/>
              </w:rPr>
              <w:t>150台</w:t>
            </w:r>
            <w:r>
              <w:rPr>
                <w:rFonts w:hint="eastAsia" w:ascii="Times New Roman" w:hAnsi="Times New Roman"/>
                <w:color w:val="auto"/>
                <w:sz w:val="24"/>
                <w:szCs w:val="24"/>
                <w:lang w:eastAsia="zh-CN"/>
              </w:rPr>
              <w:t>圆织机，</w:t>
            </w:r>
            <w:r>
              <w:rPr>
                <w:rFonts w:hint="eastAsia" w:ascii="Times New Roman" w:hAnsi="Times New Roman"/>
                <w:color w:val="auto"/>
                <w:sz w:val="24"/>
                <w:szCs w:val="24"/>
                <w:lang w:val="en-US" w:eastAsia="zh-CN"/>
              </w:rPr>
              <w:t>由于取消1她塑料颗粒加工先，相应的部分设备也将减少。本次技改</w:t>
            </w:r>
            <w:r>
              <w:rPr>
                <w:rFonts w:ascii="Times New Roman" w:hAnsi="Times New Roman"/>
                <w:color w:val="auto"/>
                <w:sz w:val="24"/>
                <w:szCs w:val="24"/>
              </w:rPr>
              <w:t>主要噪声源强</w:t>
            </w:r>
            <w:r>
              <w:rPr>
                <w:rFonts w:hint="eastAsia" w:ascii="Times New Roman" w:hAnsi="Times New Roman"/>
                <w:color w:val="auto"/>
                <w:sz w:val="24"/>
                <w:szCs w:val="24"/>
                <w:lang w:val="en-US" w:eastAsia="zh-CN"/>
              </w:rPr>
              <w:t>增减情况</w:t>
            </w:r>
            <w:r>
              <w:rPr>
                <w:rFonts w:ascii="Times New Roman" w:hAnsi="Times New Roman"/>
                <w:color w:val="auto"/>
                <w:sz w:val="24"/>
                <w:szCs w:val="24"/>
              </w:rPr>
              <w:t>见表</w:t>
            </w:r>
            <w:r>
              <w:rPr>
                <w:rFonts w:hint="eastAsia" w:ascii="Times New Roman" w:hAnsi="Times New Roman"/>
                <w:color w:val="auto"/>
                <w:sz w:val="24"/>
                <w:szCs w:val="24"/>
                <w:lang w:val="en-US" w:eastAsia="zh-CN"/>
              </w:rPr>
              <w:t>4-3</w:t>
            </w:r>
            <w:r>
              <w:rPr>
                <w:rFonts w:ascii="Times New Roman" w:hAnsi="Times New Roman"/>
                <w:color w:val="auto"/>
                <w:sz w:val="24"/>
                <w:szCs w:val="24"/>
              </w:rPr>
              <w:t>。</w:t>
            </w:r>
          </w:p>
          <w:p>
            <w:pPr>
              <w:spacing w:line="240" w:lineRule="auto"/>
              <w:jc w:val="center"/>
              <w:rPr>
                <w:rFonts w:ascii="Times New Roman" w:hAnsi="Times New Roman"/>
                <w:color w:val="auto"/>
                <w:sz w:val="21"/>
                <w:szCs w:val="21"/>
              </w:rPr>
            </w:pPr>
            <w:r>
              <w:rPr>
                <w:rFonts w:ascii="Times New Roman" w:hAnsi="Times New Roman"/>
                <w:b/>
                <w:color w:val="auto"/>
                <w:sz w:val="21"/>
                <w:szCs w:val="21"/>
              </w:rPr>
              <w:t>表</w:t>
            </w:r>
            <w:r>
              <w:rPr>
                <w:rFonts w:hint="eastAsia" w:ascii="Times New Roman" w:hAnsi="Times New Roman"/>
                <w:b/>
                <w:color w:val="auto"/>
                <w:sz w:val="21"/>
                <w:szCs w:val="21"/>
                <w:lang w:val="en-US" w:eastAsia="zh-CN"/>
              </w:rPr>
              <w:t>4-</w:t>
            </w:r>
            <w:r>
              <w:rPr>
                <w:rFonts w:hint="eastAsia"/>
                <w:b/>
                <w:color w:val="auto"/>
                <w:sz w:val="21"/>
                <w:szCs w:val="21"/>
                <w:lang w:val="en-US" w:eastAsia="zh-CN"/>
              </w:rPr>
              <w:t>3</w:t>
            </w:r>
            <w:r>
              <w:rPr>
                <w:rFonts w:hint="eastAsia" w:ascii="Times New Roman" w:hAnsi="Times New Roman"/>
                <w:b/>
                <w:color w:val="auto"/>
                <w:sz w:val="21"/>
                <w:szCs w:val="21"/>
                <w:lang w:val="en-US" w:eastAsia="zh-CN"/>
              </w:rPr>
              <w:t xml:space="preserve"> </w:t>
            </w:r>
            <w:r>
              <w:rPr>
                <w:rFonts w:ascii="Times New Roman" w:hAnsi="Times New Roman"/>
                <w:b/>
                <w:color w:val="auto"/>
                <w:sz w:val="21"/>
                <w:szCs w:val="21"/>
              </w:rPr>
              <w:t xml:space="preserve"> 主要噪声源强</w:t>
            </w:r>
            <w:r>
              <w:rPr>
                <w:rFonts w:hint="eastAsia" w:ascii="Times New Roman" w:hAnsi="Times New Roman"/>
                <w:b/>
                <w:color w:val="auto"/>
                <w:sz w:val="21"/>
                <w:szCs w:val="21"/>
                <w:lang w:val="en-US" w:eastAsia="zh-CN"/>
              </w:rPr>
              <w:t>增减</w:t>
            </w:r>
            <w:r>
              <w:rPr>
                <w:rFonts w:ascii="Times New Roman" w:hAnsi="Times New Roman"/>
                <w:b/>
                <w:color w:val="auto"/>
                <w:sz w:val="21"/>
                <w:szCs w:val="21"/>
              </w:rPr>
              <w:t>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261"/>
              <w:gridCol w:w="938"/>
              <w:gridCol w:w="1122"/>
              <w:gridCol w:w="1820"/>
              <w:gridCol w:w="2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shd w:val="clear" w:color="auto" w:fill="DCE6F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所在位置</w:t>
                  </w:r>
                </w:p>
              </w:tc>
              <w:tc>
                <w:tcPr>
                  <w:tcW w:w="1261" w:type="dxa"/>
                  <w:shd w:val="clear" w:color="auto" w:fill="DCE6F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噪声源</w:t>
                  </w:r>
                </w:p>
              </w:tc>
              <w:tc>
                <w:tcPr>
                  <w:tcW w:w="938" w:type="dxa"/>
                  <w:shd w:val="clear" w:color="auto" w:fill="DCE6F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台数</w:t>
                  </w:r>
                </w:p>
              </w:tc>
              <w:tc>
                <w:tcPr>
                  <w:tcW w:w="1122" w:type="dxa"/>
                  <w:shd w:val="clear" w:color="auto" w:fill="DCE6F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噪声源强</w:t>
                  </w:r>
                </w:p>
              </w:tc>
              <w:tc>
                <w:tcPr>
                  <w:tcW w:w="1820" w:type="dxa"/>
                  <w:shd w:val="clear" w:color="auto" w:fill="DCE6F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治理后噪声源强</w:t>
                  </w:r>
                </w:p>
              </w:tc>
              <w:tc>
                <w:tcPr>
                  <w:tcW w:w="2180" w:type="dxa"/>
                  <w:shd w:val="clear" w:color="auto" w:fill="DCE6F2"/>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生产车间</w:t>
                  </w:r>
                </w:p>
              </w:tc>
              <w:tc>
                <w:tcPr>
                  <w:tcW w:w="1261" w:type="dxa"/>
                  <w:noWrap w:val="0"/>
                  <w:vAlign w:val="center"/>
                </w:tcPr>
                <w:p>
                  <w:pPr>
                    <w:spacing w:line="240" w:lineRule="auto"/>
                    <w:jc w:val="center"/>
                    <w:rPr>
                      <w:rFonts w:hint="eastAsia" w:ascii="Times New Roman" w:hAnsi="Times New Roman"/>
                      <w:color w:val="auto"/>
                      <w:sz w:val="21"/>
                      <w:szCs w:val="21"/>
                    </w:rPr>
                  </w:pPr>
                  <w:r>
                    <w:rPr>
                      <w:rFonts w:hint="eastAsia"/>
                      <w:color w:val="auto"/>
                      <w:sz w:val="21"/>
                      <w:szCs w:val="21"/>
                      <w:lang w:eastAsia="zh-CN"/>
                    </w:rPr>
                    <w:t>圆织机</w:t>
                  </w:r>
                </w:p>
              </w:tc>
              <w:tc>
                <w:tcPr>
                  <w:tcW w:w="938" w:type="dxa"/>
                  <w:noWrap w:val="0"/>
                  <w:vAlign w:val="center"/>
                </w:tcPr>
                <w:p>
                  <w:pPr>
                    <w:spacing w:line="240" w:lineRule="auto"/>
                    <w:jc w:val="center"/>
                    <w:rPr>
                      <w:rFonts w:hint="eastAsia" w:ascii="Times New Roman" w:hAnsi="Times New Roman" w:eastAsia="宋体"/>
                      <w:color w:val="auto"/>
                      <w:sz w:val="21"/>
                      <w:szCs w:val="21"/>
                      <w:lang w:eastAsia="zh-CN"/>
                    </w:rPr>
                  </w:pPr>
                  <w:r>
                    <w:rPr>
                      <w:rFonts w:hint="eastAsia"/>
                      <w:color w:val="auto"/>
                      <w:sz w:val="21"/>
                      <w:szCs w:val="21"/>
                      <w:lang w:val="en-US" w:eastAsia="zh-CN"/>
                    </w:rPr>
                    <w:t>150</w:t>
                  </w:r>
                </w:p>
              </w:tc>
              <w:tc>
                <w:tcPr>
                  <w:tcW w:w="1122" w:type="dxa"/>
                  <w:noWrap w:val="0"/>
                  <w:vAlign w:val="center"/>
                </w:tcPr>
                <w:p>
                  <w:pPr>
                    <w:spacing w:line="240" w:lineRule="auto"/>
                    <w:jc w:val="center"/>
                    <w:rPr>
                      <w:rFonts w:hint="default" w:ascii="Times New Roman" w:hAnsi="Times New Roman"/>
                      <w:color w:val="auto"/>
                      <w:sz w:val="21"/>
                      <w:szCs w:val="21"/>
                      <w:lang w:val="en-US"/>
                    </w:rPr>
                  </w:pPr>
                  <w:r>
                    <w:rPr>
                      <w:rFonts w:hint="eastAsia"/>
                      <w:color w:val="auto"/>
                      <w:sz w:val="21"/>
                      <w:szCs w:val="21"/>
                      <w:lang w:val="en-US" w:eastAsia="zh-CN"/>
                    </w:rPr>
                    <w:t>70</w:t>
                  </w:r>
                </w:p>
              </w:tc>
              <w:tc>
                <w:tcPr>
                  <w:tcW w:w="1820" w:type="dxa"/>
                  <w:noWrap w:val="0"/>
                  <w:vAlign w:val="center"/>
                </w:tcPr>
                <w:p>
                  <w:pPr>
                    <w:spacing w:line="240" w:lineRule="auto"/>
                    <w:jc w:val="center"/>
                    <w:rPr>
                      <w:rFonts w:hint="default" w:ascii="Times New Roman" w:hAnsi="Times New Roman" w:eastAsia="宋体"/>
                      <w:color w:val="auto"/>
                      <w:sz w:val="21"/>
                      <w:szCs w:val="21"/>
                      <w:lang w:val="en-US" w:eastAsia="zh-CN"/>
                    </w:rPr>
                  </w:pPr>
                  <w:r>
                    <w:rPr>
                      <w:rFonts w:ascii="Times New Roman" w:hAnsi="Times New Roman"/>
                      <w:color w:val="auto"/>
                      <w:sz w:val="21"/>
                      <w:szCs w:val="21"/>
                    </w:rPr>
                    <w:t>&lt;</w:t>
                  </w:r>
                  <w:r>
                    <w:rPr>
                      <w:rFonts w:hint="eastAsia"/>
                      <w:color w:val="auto"/>
                      <w:sz w:val="21"/>
                      <w:szCs w:val="21"/>
                      <w:lang w:val="en-US" w:eastAsia="zh-CN"/>
                    </w:rPr>
                    <w:t>55</w:t>
                  </w:r>
                </w:p>
              </w:tc>
              <w:tc>
                <w:tcPr>
                  <w:tcW w:w="2180" w:type="dxa"/>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源强增加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continue"/>
                  <w:noWrap w:val="0"/>
                  <w:vAlign w:val="center"/>
                </w:tcPr>
                <w:p>
                  <w:pPr>
                    <w:spacing w:line="240" w:lineRule="auto"/>
                    <w:jc w:val="center"/>
                    <w:rPr>
                      <w:rFonts w:ascii="Times New Roman" w:hAnsi="Times New Roman"/>
                      <w:color w:val="auto"/>
                      <w:sz w:val="21"/>
                      <w:szCs w:val="21"/>
                    </w:rPr>
                  </w:pPr>
                </w:p>
              </w:tc>
              <w:tc>
                <w:tcPr>
                  <w:tcW w:w="1261" w:type="dxa"/>
                  <w:noWrap w:val="0"/>
                  <w:vAlign w:val="center"/>
                </w:tcPr>
                <w:p>
                  <w:pPr>
                    <w:widowControl/>
                    <w:spacing w:line="240" w:lineRule="auto"/>
                    <w:jc w:val="center"/>
                    <w:rPr>
                      <w:rFonts w:hint="eastAsia"/>
                      <w:color w:val="auto"/>
                      <w:sz w:val="21"/>
                      <w:szCs w:val="21"/>
                      <w:lang w:eastAsia="zh-CN"/>
                    </w:rPr>
                  </w:pPr>
                  <w:r>
                    <w:rPr>
                      <w:rFonts w:ascii="Times New Roman" w:hAnsi="Times New Roman"/>
                      <w:color w:val="auto"/>
                      <w:kern w:val="0"/>
                      <w:sz w:val="21"/>
                      <w:szCs w:val="21"/>
                    </w:rPr>
                    <w:t>上料机</w:t>
                  </w:r>
                </w:p>
              </w:tc>
              <w:tc>
                <w:tcPr>
                  <w:tcW w:w="938"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w:t>
                  </w:r>
                </w:p>
              </w:tc>
              <w:tc>
                <w:tcPr>
                  <w:tcW w:w="1122"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80</w:t>
                  </w:r>
                </w:p>
              </w:tc>
              <w:tc>
                <w:tcPr>
                  <w:tcW w:w="1820" w:type="dxa"/>
                  <w:noWrap w:val="0"/>
                  <w:vAlign w:val="center"/>
                </w:tcPr>
                <w:p>
                  <w:pPr>
                    <w:spacing w:line="240" w:lineRule="auto"/>
                    <w:jc w:val="center"/>
                    <w:rPr>
                      <w:rFonts w:hint="default" w:ascii="Times New Roman" w:hAnsi="Times New Roman"/>
                      <w:color w:val="auto"/>
                      <w:sz w:val="21"/>
                      <w:szCs w:val="21"/>
                      <w:lang w:val="en-US"/>
                    </w:rPr>
                  </w:pPr>
                  <w:r>
                    <w:rPr>
                      <w:rFonts w:ascii="Times New Roman" w:hAnsi="Times New Roman"/>
                      <w:color w:val="auto"/>
                      <w:sz w:val="21"/>
                      <w:szCs w:val="21"/>
                    </w:rPr>
                    <w:t>&lt;</w:t>
                  </w:r>
                  <w:r>
                    <w:rPr>
                      <w:rFonts w:hint="eastAsia"/>
                      <w:color w:val="auto"/>
                      <w:sz w:val="21"/>
                      <w:szCs w:val="21"/>
                      <w:lang w:val="en-US" w:eastAsia="zh-CN"/>
                    </w:rPr>
                    <w:t>65</w:t>
                  </w:r>
                </w:p>
              </w:tc>
              <w:tc>
                <w:tcPr>
                  <w:tcW w:w="2180" w:type="dxa"/>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源强减少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continue"/>
                  <w:noWrap w:val="0"/>
                  <w:vAlign w:val="center"/>
                </w:tcPr>
                <w:p>
                  <w:pPr>
                    <w:spacing w:line="240" w:lineRule="auto"/>
                    <w:jc w:val="center"/>
                    <w:rPr>
                      <w:rFonts w:ascii="Times New Roman" w:hAnsi="Times New Roman"/>
                      <w:color w:val="auto"/>
                      <w:sz w:val="21"/>
                      <w:szCs w:val="21"/>
                    </w:rPr>
                  </w:pPr>
                </w:p>
              </w:tc>
              <w:tc>
                <w:tcPr>
                  <w:tcW w:w="1261" w:type="dxa"/>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传送带</w:t>
                  </w:r>
                </w:p>
              </w:tc>
              <w:tc>
                <w:tcPr>
                  <w:tcW w:w="938"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2</w:t>
                  </w:r>
                </w:p>
              </w:tc>
              <w:tc>
                <w:tcPr>
                  <w:tcW w:w="1122"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75</w:t>
                  </w:r>
                </w:p>
              </w:tc>
              <w:tc>
                <w:tcPr>
                  <w:tcW w:w="1820"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&lt;</w:t>
                  </w:r>
                  <w:r>
                    <w:rPr>
                      <w:rFonts w:hint="eastAsia"/>
                      <w:color w:val="auto"/>
                      <w:sz w:val="21"/>
                      <w:szCs w:val="21"/>
                      <w:lang w:val="en-US" w:eastAsia="zh-CN"/>
                    </w:rPr>
                    <w:t>60</w:t>
                  </w:r>
                </w:p>
              </w:tc>
              <w:tc>
                <w:tcPr>
                  <w:tcW w:w="2180" w:type="dxa"/>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源强减少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continue"/>
                  <w:noWrap w:val="0"/>
                  <w:vAlign w:val="center"/>
                </w:tcPr>
                <w:p>
                  <w:pPr>
                    <w:spacing w:line="240" w:lineRule="auto"/>
                    <w:jc w:val="center"/>
                    <w:rPr>
                      <w:rFonts w:ascii="Times New Roman" w:hAnsi="Times New Roman"/>
                      <w:color w:val="auto"/>
                      <w:sz w:val="21"/>
                      <w:szCs w:val="21"/>
                    </w:rPr>
                  </w:pPr>
                </w:p>
              </w:tc>
              <w:tc>
                <w:tcPr>
                  <w:tcW w:w="1261" w:type="dxa"/>
                  <w:noWrap w:val="0"/>
                  <w:vAlign w:val="center"/>
                </w:tcPr>
                <w:p>
                  <w:pPr>
                    <w:spacing w:line="240" w:lineRule="auto"/>
                    <w:jc w:val="center"/>
                    <w:rPr>
                      <w:rFonts w:ascii="Times New Roman" w:hAnsi="Times New Roman"/>
                      <w:color w:val="auto"/>
                      <w:kern w:val="0"/>
                      <w:sz w:val="21"/>
                      <w:szCs w:val="21"/>
                    </w:rPr>
                  </w:pPr>
                  <w:r>
                    <w:rPr>
                      <w:rFonts w:ascii="Times New Roman" w:hAnsi="Times New Roman"/>
                      <w:color w:val="auto"/>
                      <w:sz w:val="21"/>
                      <w:szCs w:val="21"/>
                    </w:rPr>
                    <w:t>喂料机</w:t>
                  </w:r>
                </w:p>
              </w:tc>
              <w:tc>
                <w:tcPr>
                  <w:tcW w:w="938"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w:t>
                  </w:r>
                </w:p>
              </w:tc>
              <w:tc>
                <w:tcPr>
                  <w:tcW w:w="1122"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75</w:t>
                  </w:r>
                </w:p>
              </w:tc>
              <w:tc>
                <w:tcPr>
                  <w:tcW w:w="1820"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&lt;</w:t>
                  </w:r>
                  <w:r>
                    <w:rPr>
                      <w:rFonts w:hint="eastAsia"/>
                      <w:color w:val="auto"/>
                      <w:sz w:val="21"/>
                      <w:szCs w:val="21"/>
                      <w:lang w:val="en-US" w:eastAsia="zh-CN"/>
                    </w:rPr>
                    <w:t>60</w:t>
                  </w:r>
                </w:p>
              </w:tc>
              <w:tc>
                <w:tcPr>
                  <w:tcW w:w="2180" w:type="dxa"/>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源强减少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continue"/>
                  <w:noWrap w:val="0"/>
                  <w:vAlign w:val="center"/>
                </w:tcPr>
                <w:p>
                  <w:pPr>
                    <w:spacing w:line="240" w:lineRule="auto"/>
                    <w:jc w:val="center"/>
                    <w:rPr>
                      <w:rFonts w:ascii="Times New Roman" w:hAnsi="Times New Roman"/>
                      <w:color w:val="auto"/>
                      <w:sz w:val="21"/>
                      <w:szCs w:val="21"/>
                    </w:rPr>
                  </w:pPr>
                </w:p>
              </w:tc>
              <w:tc>
                <w:tcPr>
                  <w:tcW w:w="1261" w:type="dxa"/>
                  <w:noWrap w:val="0"/>
                  <w:vAlign w:val="center"/>
                </w:tcPr>
                <w:p>
                  <w:pPr>
                    <w:spacing w:line="240" w:lineRule="auto"/>
                    <w:jc w:val="center"/>
                    <w:rPr>
                      <w:rFonts w:ascii="Times New Roman" w:hAnsi="Times New Roman"/>
                      <w:color w:val="auto"/>
                      <w:kern w:val="0"/>
                      <w:sz w:val="21"/>
                      <w:szCs w:val="21"/>
                    </w:rPr>
                  </w:pPr>
                  <w:r>
                    <w:rPr>
                      <w:rFonts w:ascii="Times New Roman" w:hAnsi="Times New Roman"/>
                      <w:color w:val="auto"/>
                      <w:sz w:val="21"/>
                      <w:szCs w:val="21"/>
                    </w:rPr>
                    <w:t>破碎机</w:t>
                  </w:r>
                </w:p>
              </w:tc>
              <w:tc>
                <w:tcPr>
                  <w:tcW w:w="938"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w:t>
                  </w:r>
                </w:p>
              </w:tc>
              <w:tc>
                <w:tcPr>
                  <w:tcW w:w="1122"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85</w:t>
                  </w:r>
                </w:p>
              </w:tc>
              <w:tc>
                <w:tcPr>
                  <w:tcW w:w="1820" w:type="dxa"/>
                  <w:noWrap w:val="0"/>
                  <w:vAlign w:val="center"/>
                </w:tcPr>
                <w:p>
                  <w:pPr>
                    <w:spacing w:line="240" w:lineRule="auto"/>
                    <w:jc w:val="center"/>
                    <w:rPr>
                      <w:rFonts w:hint="default" w:ascii="Times New Roman" w:hAnsi="Times New Roman"/>
                      <w:color w:val="auto"/>
                      <w:sz w:val="21"/>
                      <w:szCs w:val="21"/>
                      <w:lang w:val="en-US"/>
                    </w:rPr>
                  </w:pPr>
                  <w:r>
                    <w:rPr>
                      <w:rFonts w:ascii="Times New Roman" w:hAnsi="Times New Roman"/>
                      <w:color w:val="auto"/>
                      <w:sz w:val="21"/>
                      <w:szCs w:val="21"/>
                    </w:rPr>
                    <w:t>&lt;</w:t>
                  </w:r>
                  <w:r>
                    <w:rPr>
                      <w:rFonts w:hint="eastAsia"/>
                      <w:color w:val="auto"/>
                      <w:sz w:val="21"/>
                      <w:szCs w:val="21"/>
                      <w:lang w:val="en-US" w:eastAsia="zh-CN"/>
                    </w:rPr>
                    <w:t>70</w:t>
                  </w:r>
                </w:p>
              </w:tc>
              <w:tc>
                <w:tcPr>
                  <w:tcW w:w="2180" w:type="dxa"/>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源强减少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continue"/>
                  <w:noWrap w:val="0"/>
                  <w:vAlign w:val="center"/>
                </w:tcPr>
                <w:p>
                  <w:pPr>
                    <w:spacing w:line="240" w:lineRule="auto"/>
                    <w:jc w:val="center"/>
                    <w:rPr>
                      <w:rFonts w:ascii="Times New Roman" w:hAnsi="Times New Roman"/>
                      <w:color w:val="auto"/>
                      <w:sz w:val="21"/>
                      <w:szCs w:val="21"/>
                    </w:rPr>
                  </w:pPr>
                </w:p>
              </w:tc>
              <w:tc>
                <w:tcPr>
                  <w:tcW w:w="1261"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切粒机</w:t>
                  </w:r>
                </w:p>
              </w:tc>
              <w:tc>
                <w:tcPr>
                  <w:tcW w:w="938"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w:t>
                  </w:r>
                </w:p>
              </w:tc>
              <w:tc>
                <w:tcPr>
                  <w:tcW w:w="1122"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75</w:t>
                  </w:r>
                </w:p>
              </w:tc>
              <w:tc>
                <w:tcPr>
                  <w:tcW w:w="1820"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&lt;</w:t>
                  </w:r>
                  <w:r>
                    <w:rPr>
                      <w:rFonts w:hint="eastAsia"/>
                      <w:color w:val="auto"/>
                      <w:sz w:val="21"/>
                      <w:szCs w:val="21"/>
                      <w:lang w:val="en-US" w:eastAsia="zh-CN"/>
                    </w:rPr>
                    <w:t>60</w:t>
                  </w:r>
                </w:p>
              </w:tc>
              <w:tc>
                <w:tcPr>
                  <w:tcW w:w="2180" w:type="dxa"/>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源强减少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continue"/>
                  <w:noWrap w:val="0"/>
                  <w:vAlign w:val="center"/>
                </w:tcPr>
                <w:p>
                  <w:pPr>
                    <w:spacing w:line="240" w:lineRule="auto"/>
                    <w:jc w:val="center"/>
                    <w:rPr>
                      <w:rFonts w:ascii="Times New Roman" w:hAnsi="Times New Roman"/>
                      <w:color w:val="auto"/>
                      <w:sz w:val="21"/>
                      <w:szCs w:val="21"/>
                    </w:rPr>
                  </w:pPr>
                </w:p>
              </w:tc>
              <w:tc>
                <w:tcPr>
                  <w:tcW w:w="1261"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烧网机</w:t>
                  </w:r>
                </w:p>
              </w:tc>
              <w:tc>
                <w:tcPr>
                  <w:tcW w:w="938"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2</w:t>
                  </w:r>
                </w:p>
              </w:tc>
              <w:tc>
                <w:tcPr>
                  <w:tcW w:w="1122" w:type="dxa"/>
                  <w:noWrap w:val="0"/>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75</w:t>
                  </w:r>
                </w:p>
              </w:tc>
              <w:tc>
                <w:tcPr>
                  <w:tcW w:w="1820" w:type="dxa"/>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&lt;</w:t>
                  </w:r>
                  <w:r>
                    <w:rPr>
                      <w:rFonts w:hint="eastAsia"/>
                      <w:color w:val="auto"/>
                      <w:sz w:val="21"/>
                      <w:szCs w:val="21"/>
                      <w:lang w:val="en-US" w:eastAsia="zh-CN"/>
                    </w:rPr>
                    <w:t>60</w:t>
                  </w:r>
                </w:p>
              </w:tc>
              <w:tc>
                <w:tcPr>
                  <w:tcW w:w="2180" w:type="dxa"/>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源强减少</w:t>
                  </w:r>
                </w:p>
              </w:tc>
            </w:tr>
          </w:tbl>
          <w:p>
            <w:pPr>
              <w:spacing w:line="360" w:lineRule="auto"/>
              <w:ind w:firstLine="482" w:firstLineChars="200"/>
              <w:rPr>
                <w:rFonts w:ascii="Times New Roman" w:hAnsi="Times New Roman"/>
                <w:color w:val="auto"/>
                <w:sz w:val="24"/>
                <w:szCs w:val="24"/>
              </w:rPr>
            </w:pPr>
            <w:r>
              <w:rPr>
                <w:rFonts w:hint="eastAsia" w:ascii="Times New Roman" w:hAnsi="Times New Roman"/>
                <w:b/>
                <w:bCs/>
                <w:color w:val="auto"/>
                <w:sz w:val="24"/>
                <w:szCs w:val="24"/>
                <w:lang w:eastAsia="zh-CN"/>
              </w:rPr>
              <w:t>（</w:t>
            </w:r>
            <w:r>
              <w:rPr>
                <w:rFonts w:hint="eastAsia" w:ascii="Times New Roman" w:hAnsi="Times New Roman"/>
                <w:b/>
                <w:bCs/>
                <w:color w:val="auto"/>
                <w:sz w:val="24"/>
                <w:szCs w:val="24"/>
                <w:lang w:val="en-US" w:eastAsia="zh-CN"/>
              </w:rPr>
              <w:t>2</w:t>
            </w:r>
            <w:r>
              <w:rPr>
                <w:rFonts w:hint="eastAsia" w:ascii="Times New Roman" w:hAnsi="Times New Roman"/>
                <w:b/>
                <w:bCs/>
                <w:color w:val="auto"/>
                <w:sz w:val="24"/>
                <w:szCs w:val="24"/>
                <w:lang w:eastAsia="zh-CN"/>
              </w:rPr>
              <w:t>）</w:t>
            </w:r>
            <w:r>
              <w:rPr>
                <w:rFonts w:ascii="Times New Roman" w:hAnsi="Times New Roman"/>
                <w:b/>
                <w:bCs/>
                <w:color w:val="auto"/>
                <w:sz w:val="24"/>
                <w:szCs w:val="24"/>
              </w:rPr>
              <w:t>防治措施</w:t>
            </w:r>
          </w:p>
          <w:p>
            <w:pPr>
              <w:pStyle w:val="28"/>
              <w:spacing w:after="0" w:line="360" w:lineRule="auto"/>
              <w:ind w:firstLine="480"/>
              <w:rPr>
                <w:rFonts w:ascii="Times New Roman" w:hAnsi="Times New Roman"/>
                <w:b/>
                <w:bCs/>
                <w:color w:val="auto"/>
                <w:sz w:val="24"/>
                <w:szCs w:val="24"/>
              </w:rPr>
            </w:pPr>
            <w:r>
              <w:rPr>
                <w:rFonts w:ascii="Times New Roman" w:hAnsi="Times New Roman"/>
                <w:color w:val="auto"/>
                <w:sz w:val="24"/>
                <w:szCs w:val="24"/>
              </w:rPr>
              <w:t>为保证项目厂界噪声达标且不扰民，</w:t>
            </w:r>
            <w:r>
              <w:rPr>
                <w:rFonts w:ascii="Times New Roman" w:hAnsi="Times New Roman"/>
                <w:b/>
                <w:bCs/>
                <w:color w:val="auto"/>
                <w:sz w:val="24"/>
                <w:szCs w:val="24"/>
              </w:rPr>
              <w:t>环评要求</w:t>
            </w:r>
            <w:r>
              <w:rPr>
                <w:rFonts w:hint="eastAsia"/>
                <w:b/>
                <w:bCs/>
                <w:color w:val="auto"/>
                <w:sz w:val="24"/>
                <w:szCs w:val="24"/>
                <w:lang w:val="en-US" w:eastAsia="zh-CN"/>
              </w:rPr>
              <w:t>在原有措施基础上进一步强化降噪措施</w:t>
            </w:r>
            <w:r>
              <w:rPr>
                <w:rFonts w:ascii="Times New Roman" w:hAnsi="Times New Roman"/>
                <w:b/>
                <w:bCs/>
                <w:color w:val="auto"/>
                <w:sz w:val="24"/>
                <w:szCs w:val="24"/>
              </w:rPr>
              <w:t>采取如下措施减降噪声：</w:t>
            </w:r>
          </w:p>
          <w:p>
            <w:pPr>
              <w:spacing w:line="360" w:lineRule="auto"/>
              <w:ind w:firstLine="480" w:firstLineChars="200"/>
              <w:jc w:val="left"/>
              <w:rPr>
                <w:rFonts w:hint="eastAsia" w:ascii="Times New Roman" w:hAnsi="Times New Roman" w:eastAsia="宋体"/>
                <w:color w:val="auto"/>
                <w:sz w:val="24"/>
                <w:szCs w:val="24"/>
                <w:lang w:eastAsia="zh-CN"/>
              </w:rPr>
            </w:pPr>
            <w:r>
              <w:rPr>
                <w:rFonts w:ascii="Times New Roman" w:hAnsi="Times New Roman"/>
                <w:color w:val="auto"/>
                <w:sz w:val="24"/>
                <w:szCs w:val="24"/>
              </w:rPr>
              <w:t>①定期进行设备检修维护，保证设备正常运转，避免异常产噪</w:t>
            </w:r>
            <w:r>
              <w:rPr>
                <w:rFonts w:hint="eastAsia" w:ascii="Times New Roman" w:hAnsi="Times New Roman"/>
                <w:color w:val="auto"/>
                <w:sz w:val="24"/>
                <w:szCs w:val="24"/>
                <w:lang w:eastAsia="zh-CN"/>
              </w:rPr>
              <w:t>；</w:t>
            </w:r>
          </w:p>
          <w:p>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②进一步</w:t>
            </w:r>
            <w:r>
              <w:rPr>
                <w:rFonts w:ascii="Times New Roman" w:hAnsi="Times New Roman" w:eastAsia="宋体" w:cs="Times New Roman"/>
                <w:color w:val="auto"/>
                <w:sz w:val="24"/>
                <w:szCs w:val="24"/>
              </w:rPr>
              <w:t>密闭厂房</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采用吸声、隔声的材料；</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③加装隔声窗</w:t>
            </w:r>
          </w:p>
          <w:p>
            <w:pPr>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④采取严格操作规程，加强交通管理，禁止夜间（晚22时至早6时）运输；</w:t>
            </w:r>
          </w:p>
          <w:p>
            <w:pPr>
              <w:spacing w:line="360" w:lineRule="auto"/>
              <w:ind w:firstLine="482" w:firstLineChars="200"/>
              <w:rPr>
                <w:b/>
                <w:bCs/>
                <w:color w:val="auto"/>
                <w:sz w:val="24"/>
                <w:szCs w:val="24"/>
              </w:rPr>
            </w:pPr>
            <w:r>
              <w:rPr>
                <w:b/>
                <w:bCs/>
                <w:color w:val="auto"/>
                <w:sz w:val="24"/>
                <w:szCs w:val="24"/>
              </w:rPr>
              <w:t>（3）厂界及环境保护目标达标情况分析</w:t>
            </w:r>
          </w:p>
          <w:p>
            <w:pPr>
              <w:spacing w:line="360" w:lineRule="auto"/>
              <w:ind w:firstLine="480" w:firstLineChars="200"/>
              <w:rPr>
                <w:color w:val="auto"/>
                <w:sz w:val="24"/>
                <w:szCs w:val="24"/>
                <w:lang w:val="de-DE"/>
              </w:rPr>
            </w:pPr>
            <w:r>
              <w:rPr>
                <w:color w:val="auto"/>
                <w:sz w:val="24"/>
                <w:szCs w:val="24"/>
                <w:lang w:val="de-DE"/>
              </w:rPr>
              <w:t>将建设项目主要噪声源进行能量叠加后的合成总声级值视为一个混合点噪声源，并以半球形向外辐射传播，在只考虑声源的距离衰减时，采用以下公式预测工程噪声对厂界的噪声影响。</w:t>
            </w:r>
          </w:p>
          <w:p>
            <w:pPr>
              <w:spacing w:line="360" w:lineRule="auto"/>
              <w:ind w:firstLine="480" w:firstLineChars="200"/>
              <w:rPr>
                <w:color w:val="auto"/>
                <w:sz w:val="24"/>
                <w:szCs w:val="24"/>
                <w:lang w:val="de-DE"/>
              </w:rPr>
            </w:pPr>
            <w:r>
              <w:rPr>
                <w:color w:val="auto"/>
                <w:sz w:val="24"/>
                <w:szCs w:val="24"/>
                <w:lang w:val="de-DE"/>
              </w:rPr>
              <w:t>噪声衰减公式：</w:t>
            </w:r>
          </w:p>
          <w:p>
            <w:pPr>
              <w:spacing w:line="360" w:lineRule="auto"/>
              <w:ind w:firstLine="420" w:firstLineChars="200"/>
              <w:jc w:val="center"/>
              <w:rPr>
                <w:color w:val="auto"/>
                <w:sz w:val="21"/>
                <w:szCs w:val="21"/>
                <w:lang w:val="de-DE"/>
              </w:rPr>
            </w:pPr>
            <w:r>
              <w:rPr>
                <w:color w:val="auto"/>
                <w:position w:val="-32"/>
                <w:sz w:val="21"/>
                <w:szCs w:val="21"/>
                <w:lang w:val="de-DE"/>
              </w:rPr>
              <w:object>
                <v:shape id="_x0000_i1036" o:spt="75" type="#_x0000_t75" style="height:46pt;width:198.6pt;" o:ole="t" filled="f" o:preferrelative="t" stroked="f" coordsize="21600,21600">
                  <v:path/>
                  <v:fill on="f" focussize="0,0"/>
                  <v:stroke on="f"/>
                  <v:imagedata r:id="rId51" o:title=""/>
                  <o:lock v:ext="edit" aspectratio="t"/>
                  <w10:wrap type="none"/>
                  <w10:anchorlock/>
                </v:shape>
                <o:OLEObject Type="Embed" ProgID="Equation.3" ShapeID="_x0000_i1036" DrawAspect="Content" ObjectID="_1468075736" r:id="rId50">
                  <o:LockedField>false</o:LockedField>
                </o:OLEObject>
              </w:object>
            </w:r>
          </w:p>
          <w:p>
            <w:pPr>
              <w:spacing w:line="360" w:lineRule="auto"/>
              <w:ind w:firstLine="480" w:firstLineChars="200"/>
              <w:rPr>
                <w:color w:val="auto"/>
                <w:sz w:val="24"/>
                <w:szCs w:val="24"/>
                <w:lang w:val="de-DE"/>
              </w:rPr>
            </w:pPr>
            <w:r>
              <w:rPr>
                <w:color w:val="auto"/>
                <w:sz w:val="24"/>
                <w:szCs w:val="24"/>
                <w:lang w:val="de-DE"/>
              </w:rPr>
              <w:t>式中：</w:t>
            </w:r>
            <w:r>
              <w:rPr>
                <w:color w:val="auto"/>
                <w:sz w:val="24"/>
                <w:szCs w:val="24"/>
                <w:lang w:val="de-DE"/>
              </w:rPr>
              <w:object>
                <v:shape id="_x0000_i1037" o:spt="75" type="#_x0000_t75" style="height:18pt;width:35pt;" o:ole="t" filled="f" o:preferrelative="t" stroked="f" coordsize="21600,21600">
                  <v:path/>
                  <v:fill on="f" focussize="0,0"/>
                  <v:stroke on="f"/>
                  <v:imagedata r:id="rId53" o:title=""/>
                  <o:lock v:ext="edit" grouping="f" rotation="f" text="f" aspectratio="t"/>
                  <w10:wrap type="none"/>
                  <w10:anchorlock/>
                </v:shape>
                <o:OLEObject Type="Embed" ProgID="Equation.3" ShapeID="_x0000_i1037" DrawAspect="Content" ObjectID="_1468075737" r:id="rId52">
                  <o:LockedField>false</o:LockedField>
                </o:OLEObject>
              </w:object>
            </w:r>
            <w:r>
              <w:rPr>
                <w:color w:val="auto"/>
                <w:sz w:val="24"/>
                <w:szCs w:val="24"/>
                <w:lang w:val="de-DE"/>
              </w:rPr>
              <w:t>——点（线）声源在预测点产生的声压级，dB(A)；</w:t>
            </w:r>
          </w:p>
          <w:p>
            <w:pPr>
              <w:spacing w:line="360" w:lineRule="auto"/>
              <w:ind w:firstLine="480" w:firstLineChars="200"/>
              <w:rPr>
                <w:color w:val="auto"/>
                <w:sz w:val="24"/>
                <w:szCs w:val="24"/>
                <w:lang w:val="de-DE"/>
              </w:rPr>
            </w:pPr>
            <w:r>
              <w:rPr>
                <w:color w:val="auto"/>
                <w:sz w:val="24"/>
                <w:szCs w:val="24"/>
                <w:lang w:val="de-DE"/>
              </w:rPr>
              <w:object>
                <v:shape id="_x0000_i1038" o:spt="75" type="#_x0000_t75" style="height:18pt;width:39pt;" o:ole="t" filled="f" o:preferrelative="t" stroked="f" coordsize="21600,21600">
                  <v:path/>
                  <v:fill on="f" focussize="0,0"/>
                  <v:stroke on="f"/>
                  <v:imagedata r:id="rId55" o:title=""/>
                  <o:lock v:ext="edit" grouping="f" rotation="f" text="f" aspectratio="t"/>
                  <w10:wrap type="none"/>
                  <w10:anchorlock/>
                </v:shape>
                <o:OLEObject Type="Embed" ProgID="Equation.3" ShapeID="_x0000_i1038" DrawAspect="Content" ObjectID="_1468075738" r:id="rId54">
                  <o:LockedField>false</o:LockedField>
                </o:OLEObject>
              </w:object>
            </w:r>
            <w:r>
              <w:rPr>
                <w:color w:val="auto"/>
                <w:sz w:val="24"/>
                <w:szCs w:val="24"/>
                <w:lang w:val="de-DE"/>
              </w:rPr>
              <w:t>——参考位置r</w:t>
            </w:r>
            <w:r>
              <w:rPr>
                <w:color w:val="auto"/>
                <w:sz w:val="24"/>
                <w:szCs w:val="24"/>
                <w:vertAlign w:val="subscript"/>
                <w:lang w:val="de-DE"/>
              </w:rPr>
              <w:t>0</w:t>
            </w:r>
            <w:r>
              <w:rPr>
                <w:color w:val="auto"/>
                <w:sz w:val="24"/>
                <w:szCs w:val="24"/>
                <w:lang w:val="de-DE"/>
              </w:rPr>
              <w:t>处的的声压级，dB(A)；</w:t>
            </w:r>
          </w:p>
          <w:p>
            <w:pPr>
              <w:spacing w:line="360" w:lineRule="auto"/>
              <w:ind w:firstLine="480" w:firstLineChars="200"/>
              <w:rPr>
                <w:color w:val="auto"/>
                <w:sz w:val="24"/>
                <w:szCs w:val="24"/>
                <w:lang w:val="de-DE"/>
              </w:rPr>
            </w:pPr>
            <w:r>
              <w:rPr>
                <w:color w:val="auto"/>
                <w:sz w:val="24"/>
                <w:szCs w:val="24"/>
                <w:lang w:val="de-DE"/>
              </w:rPr>
              <w:object>
                <v:shape id="_x0000_i1039" o:spt="75" type="#_x0000_t75" style="height:10pt;width:9pt;" o:ole="t" filled="f" o:preferrelative="t" stroked="f" coordsize="21600,21600">
                  <v:path/>
                  <v:fill on="f" focussize="0,0"/>
                  <v:stroke on="f"/>
                  <v:imagedata r:id="rId57" o:title=""/>
                  <o:lock v:ext="edit" grouping="f" rotation="f" text="f" aspectratio="t"/>
                  <w10:wrap type="none"/>
                  <w10:anchorlock/>
                </v:shape>
                <o:OLEObject Type="Embed" ProgID="Equation.3" ShapeID="_x0000_i1039" DrawAspect="Content" ObjectID="_1468075739" r:id="rId56">
                  <o:LockedField>false</o:LockedField>
                </o:OLEObject>
              </w:object>
            </w:r>
            <w:r>
              <w:rPr>
                <w:color w:val="auto"/>
                <w:sz w:val="24"/>
                <w:szCs w:val="24"/>
                <w:lang w:val="de-DE"/>
              </w:rPr>
              <w:t>——预测点距声源距离，m；</w:t>
            </w:r>
          </w:p>
          <w:p>
            <w:pPr>
              <w:spacing w:line="360" w:lineRule="auto"/>
              <w:ind w:firstLine="480" w:firstLineChars="200"/>
              <w:rPr>
                <w:color w:val="auto"/>
                <w:sz w:val="24"/>
                <w:szCs w:val="24"/>
                <w:lang w:val="de-DE"/>
              </w:rPr>
            </w:pPr>
            <w:r>
              <w:rPr>
                <w:color w:val="auto"/>
                <w:sz w:val="24"/>
                <w:szCs w:val="24"/>
                <w:lang w:val="de-DE"/>
              </w:rPr>
              <w:object>
                <v:shape id="_x0000_i1040" o:spt="75" type="#_x0000_t75" style="height:18pt;width:11pt;" o:ole="t" filled="f" o:preferrelative="t" stroked="f" coordsize="21600,21600">
                  <v:path/>
                  <v:fill on="f" focussize="0,0"/>
                  <v:stroke on="f"/>
                  <v:imagedata r:id="rId59" o:title=""/>
                  <o:lock v:ext="edit" grouping="f" rotation="f" text="f" aspectratio="t"/>
                  <w10:wrap type="none"/>
                  <w10:anchorlock/>
                </v:shape>
                <o:OLEObject Type="Embed" ProgID="Equation.3" ShapeID="_x0000_i1040" DrawAspect="Content" ObjectID="_1468075740" r:id="rId58">
                  <o:LockedField>false</o:LockedField>
                </o:OLEObject>
              </w:object>
            </w:r>
            <w:r>
              <w:rPr>
                <w:color w:val="auto"/>
                <w:sz w:val="24"/>
                <w:szCs w:val="24"/>
                <w:lang w:val="de-DE"/>
              </w:rPr>
              <w:t>——参考位置距声源的距离，m；</w:t>
            </w:r>
          </w:p>
          <w:p>
            <w:pPr>
              <w:spacing w:line="360" w:lineRule="auto"/>
              <w:ind w:firstLine="480" w:firstLineChars="200"/>
              <w:rPr>
                <w:color w:val="auto"/>
                <w:sz w:val="24"/>
                <w:szCs w:val="24"/>
                <w:lang w:val="de-DE"/>
              </w:rPr>
            </w:pPr>
            <w:r>
              <w:rPr>
                <w:color w:val="auto"/>
                <w:sz w:val="24"/>
                <w:szCs w:val="24"/>
              </w:rPr>
              <w:object>
                <v:shape id="_x0000_i1041" o:spt="75" type="#_x0000_t75" style="height:14.25pt;width:33pt;" o:ole="t" fillcolor="#ACA899" filled="f" o:preferrelative="t" stroked="f" coordsize="21600,21600">
                  <v:path/>
                  <v:fill on="f" focussize="0,0"/>
                  <v:stroke on="f"/>
                  <v:imagedata r:id="rId61" o:title=""/>
                  <o:lock v:ext="edit" aspectratio="t"/>
                  <w10:wrap type="none"/>
                  <w10:anchorlock/>
                </v:shape>
                <o:OLEObject Type="Embed" ProgID="Equation.3" ShapeID="_x0000_i1041" DrawAspect="Content" ObjectID="_1468075741" r:id="rId60">
                  <o:LockedField>false</o:LockedField>
                </o:OLEObject>
              </w:object>
            </w:r>
            <w:r>
              <w:rPr>
                <w:color w:val="auto"/>
                <w:sz w:val="24"/>
                <w:szCs w:val="24"/>
              </w:rPr>
              <w:t>－各种因素引起A声级的衰减量（包括声屏障等），本次计算取值10dB(A)。</w:t>
            </w:r>
          </w:p>
          <w:p>
            <w:pPr>
              <w:spacing w:line="360" w:lineRule="auto"/>
              <w:ind w:firstLine="480" w:firstLineChars="200"/>
              <w:rPr>
                <w:color w:val="auto"/>
                <w:sz w:val="24"/>
                <w:szCs w:val="24"/>
                <w:lang w:val="de-DE"/>
              </w:rPr>
            </w:pPr>
            <w:r>
              <w:rPr>
                <w:color w:val="auto"/>
                <w:sz w:val="24"/>
                <w:szCs w:val="24"/>
                <w:lang w:val="de-DE"/>
              </w:rPr>
              <w:t>根据项目厂区布局图和主要噪声源距离估算，并采用上述点源距离衰减模式，求出该项目主要噪声源噪声对厂界的噪声贡献值。</w:t>
            </w:r>
          </w:p>
          <w:p>
            <w:pPr>
              <w:spacing w:line="360" w:lineRule="auto"/>
              <w:ind w:firstLine="480" w:firstLineChars="200"/>
              <w:rPr>
                <w:color w:val="auto"/>
                <w:sz w:val="24"/>
                <w:szCs w:val="24"/>
                <w:lang w:val="de-DE"/>
              </w:rPr>
            </w:pPr>
            <w:r>
              <w:rPr>
                <w:color w:val="auto"/>
                <w:sz w:val="24"/>
                <w:szCs w:val="24"/>
                <w:lang w:val="de-DE"/>
              </w:rPr>
              <w:t>根据《环境影响评价技术导则-声环境》中关于噪声源简化处理原则，以独立房间视为一个点声源，将房间内的主要噪声源分别进行声级叠加，一个叠加声源经房间墙体的隔声衰减，传至室外的声级值作为一个等效室外声源。</w:t>
            </w:r>
          </w:p>
          <w:p>
            <w:pPr>
              <w:spacing w:line="360" w:lineRule="auto"/>
              <w:ind w:firstLine="480" w:firstLineChars="200"/>
              <w:rPr>
                <w:color w:val="auto"/>
                <w:sz w:val="24"/>
                <w:szCs w:val="24"/>
                <w:lang w:val="de-DE"/>
              </w:rPr>
            </w:pPr>
            <w:r>
              <w:rPr>
                <w:color w:val="auto"/>
                <w:sz w:val="24"/>
                <w:szCs w:val="24"/>
                <w:lang w:val="de-DE"/>
              </w:rPr>
              <w:t>各噪声源声级叠加公式为：</w:t>
            </w:r>
          </w:p>
          <w:p>
            <w:pPr>
              <w:spacing w:line="360" w:lineRule="auto"/>
              <w:ind w:firstLine="420" w:firstLineChars="200"/>
              <w:jc w:val="center"/>
              <w:rPr>
                <w:color w:val="auto"/>
                <w:sz w:val="21"/>
                <w:szCs w:val="21"/>
                <w:lang w:val="de-DE"/>
              </w:rPr>
            </w:pPr>
            <w:r>
              <w:rPr>
                <w:color w:val="auto"/>
                <w:position w:val="-28"/>
                <w:sz w:val="21"/>
                <w:szCs w:val="21"/>
                <w:lang w:val="de-DE"/>
              </w:rPr>
              <w:object>
                <v:shape id="_x0000_i1042" o:spt="75" type="#_x0000_t75" style="height:41.15pt;width:109.1pt;" o:ole="t" filled="f" o:preferrelative="t" stroked="f" coordsize="21600,21600">
                  <v:path/>
                  <v:fill on="f" focussize="0,0"/>
                  <v:stroke on="f"/>
                  <v:imagedata r:id="rId63" o:title=""/>
                  <o:lock v:ext="edit" grouping="f" rotation="f" text="f" aspectratio="t"/>
                  <w10:wrap type="none"/>
                  <w10:anchorlock/>
                </v:shape>
                <o:OLEObject Type="Embed" ProgID="Equation.3" ShapeID="_x0000_i1042" DrawAspect="Content" ObjectID="_1468075742" r:id="rId62">
                  <o:LockedField>false</o:LockedField>
                </o:OLEObject>
              </w:object>
            </w:r>
          </w:p>
          <w:p>
            <w:pPr>
              <w:spacing w:line="360" w:lineRule="auto"/>
              <w:ind w:firstLine="480" w:firstLineChars="200"/>
              <w:rPr>
                <w:color w:val="auto"/>
                <w:sz w:val="24"/>
                <w:szCs w:val="24"/>
                <w:lang w:val="de-DE"/>
              </w:rPr>
            </w:pPr>
            <w:r>
              <w:rPr>
                <w:color w:val="auto"/>
                <w:sz w:val="24"/>
                <w:szCs w:val="24"/>
                <w:lang w:val="de-DE"/>
              </w:rPr>
              <w:t>式中：L——某点噪声总叠加值dB(A)；</w:t>
            </w:r>
          </w:p>
          <w:p>
            <w:pPr>
              <w:spacing w:line="360" w:lineRule="auto"/>
              <w:ind w:firstLine="480" w:firstLineChars="200"/>
              <w:rPr>
                <w:color w:val="auto"/>
                <w:sz w:val="24"/>
                <w:szCs w:val="24"/>
                <w:lang w:val="de-DE"/>
              </w:rPr>
            </w:pPr>
            <w:r>
              <w:rPr>
                <w:color w:val="auto"/>
                <w:sz w:val="24"/>
                <w:szCs w:val="24"/>
                <w:lang w:val="de-DE"/>
              </w:rPr>
              <w:t>Li——第i个声源的噪声值dB(A)；</w:t>
            </w:r>
          </w:p>
          <w:p>
            <w:pPr>
              <w:spacing w:line="360" w:lineRule="auto"/>
              <w:ind w:firstLine="480" w:firstLineChars="200"/>
              <w:rPr>
                <w:color w:val="auto"/>
                <w:sz w:val="24"/>
                <w:szCs w:val="24"/>
                <w:lang w:val="de-DE"/>
              </w:rPr>
            </w:pPr>
            <w:r>
              <w:rPr>
                <w:color w:val="auto"/>
                <w:sz w:val="24"/>
                <w:szCs w:val="24"/>
                <w:lang w:val="de-DE"/>
              </w:rPr>
              <w:t>n——声源个数。</w:t>
            </w:r>
          </w:p>
          <w:p>
            <w:pPr>
              <w:spacing w:line="360" w:lineRule="auto"/>
              <w:ind w:firstLine="480" w:firstLineChars="200"/>
              <w:rPr>
                <w:color w:val="auto"/>
                <w:sz w:val="24"/>
                <w:szCs w:val="24"/>
              </w:rPr>
            </w:pPr>
            <w:r>
              <w:rPr>
                <w:color w:val="auto"/>
                <w:sz w:val="24"/>
                <w:szCs w:val="24"/>
                <w:lang w:val="de-DE"/>
              </w:rPr>
              <w:t>环评将各主要噪声源强消声后的声压级，分别利用噪声衰减模式计算出监测点的贡献值，然后将监测点的噪声贡献值叠加即得到本工程噪声源对各监测点的噪声贡献值，最后与监测点的噪声本底监测值叠加，得到各监测点的预测值。</w:t>
            </w:r>
            <w:r>
              <w:rPr>
                <w:color w:val="auto"/>
                <w:sz w:val="24"/>
                <w:szCs w:val="24"/>
              </w:rPr>
              <w:t>噪声预测公式如下：</w:t>
            </w:r>
          </w:p>
          <w:p>
            <w:pPr>
              <w:spacing w:line="360" w:lineRule="auto"/>
              <w:ind w:firstLine="480" w:firstLineChars="200"/>
              <w:jc w:val="center"/>
              <w:rPr>
                <w:color w:val="auto"/>
                <w:sz w:val="24"/>
                <w:szCs w:val="24"/>
                <w:lang w:val="de-DE"/>
              </w:rPr>
            </w:pPr>
            <w:r>
              <w:rPr>
                <w:color w:val="auto"/>
                <w:sz w:val="24"/>
                <w:szCs w:val="24"/>
                <w:lang w:val="de-DE"/>
              </w:rPr>
              <w:t>噪声预测值=噪声贡献值+噪声本底值</w:t>
            </w:r>
          </w:p>
          <w:p>
            <w:pPr>
              <w:pStyle w:val="10"/>
              <w:spacing w:before="0" w:after="0" w:line="360" w:lineRule="auto"/>
              <w:ind w:right="0" w:firstLine="480" w:firstLineChars="200"/>
              <w:rPr>
                <w:rFonts w:hint="eastAsia" w:eastAsia="宋体"/>
                <w:color w:val="auto"/>
                <w:sz w:val="24"/>
                <w:szCs w:val="24"/>
                <w:lang w:val="en-US" w:eastAsia="zh-CN"/>
              </w:rPr>
            </w:pPr>
            <w:r>
              <w:rPr>
                <w:color w:val="auto"/>
                <w:sz w:val="24"/>
                <w:szCs w:val="24"/>
                <w:lang w:val="de-DE"/>
              </w:rPr>
              <w:t>具体预测</w:t>
            </w:r>
            <w:r>
              <w:rPr>
                <w:rFonts w:hint="eastAsia"/>
                <w:color w:val="auto"/>
                <w:sz w:val="24"/>
                <w:szCs w:val="24"/>
                <w:lang w:val="en-US" w:eastAsia="zh-CN"/>
              </w:rPr>
              <w:t>如下：</w:t>
            </w:r>
          </w:p>
          <w:p>
            <w:pPr>
              <w:pStyle w:val="6"/>
              <w:spacing w:line="240" w:lineRule="auto"/>
              <w:ind w:firstLine="0"/>
              <w:jc w:val="center"/>
              <w:rPr>
                <w:rFonts w:ascii="Times New Roman" w:hAnsi="Times New Roman"/>
                <w:b/>
                <w:color w:val="auto"/>
                <w:sz w:val="21"/>
                <w:szCs w:val="21"/>
              </w:rPr>
            </w:pPr>
            <w:r>
              <w:rPr>
                <w:rFonts w:ascii="Times New Roman" w:hAnsi="Times New Roman"/>
                <w:b/>
                <w:color w:val="auto"/>
                <w:sz w:val="21"/>
                <w:szCs w:val="21"/>
              </w:rPr>
              <w:t>表</w:t>
            </w:r>
            <w:r>
              <w:rPr>
                <w:rFonts w:hint="eastAsia" w:ascii="Times New Roman" w:hAnsi="Times New Roman"/>
                <w:b/>
                <w:color w:val="auto"/>
                <w:sz w:val="21"/>
                <w:szCs w:val="21"/>
                <w:lang w:val="en-US" w:eastAsia="zh-CN"/>
              </w:rPr>
              <w:t>4-4</w:t>
            </w:r>
            <w:r>
              <w:rPr>
                <w:rFonts w:ascii="Times New Roman" w:hAnsi="Times New Roman"/>
                <w:b/>
                <w:color w:val="auto"/>
                <w:sz w:val="21"/>
                <w:szCs w:val="21"/>
              </w:rPr>
              <w:t xml:space="preserve">  声源距各预测点距离情况表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958"/>
              <w:gridCol w:w="958"/>
              <w:gridCol w:w="959"/>
              <w:gridCol w:w="47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000" w:type="pct"/>
                  <w:gridSpan w:val="5"/>
                  <w:shd w:val="clear" w:color="auto" w:fill="DCE6F2"/>
                  <w:noWrap w:val="0"/>
                  <w:vAlign w:val="center"/>
                </w:tcPr>
                <w:p>
                  <w:pPr>
                    <w:spacing w:line="240" w:lineRule="auto"/>
                    <w:jc w:val="center"/>
                    <w:rPr>
                      <w:rFonts w:ascii="Times New Roman" w:hAnsi="Times New Roman"/>
                      <w:color w:val="auto"/>
                      <w:sz w:val="21"/>
                      <w:szCs w:val="21"/>
                    </w:rPr>
                  </w:pPr>
                  <w:r>
                    <w:rPr>
                      <w:rFonts w:ascii="Times New Roman" w:hAnsi="Times New Roman"/>
                      <w:b/>
                      <w:bCs/>
                      <w:color w:val="auto"/>
                      <w:sz w:val="21"/>
                      <w:szCs w:val="21"/>
                    </w:rPr>
                    <w:t>距厂界距离（m）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5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北</w:t>
                  </w:r>
                </w:p>
              </w:tc>
              <w:tc>
                <w:tcPr>
                  <w:tcW w:w="558" w:type="pct"/>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东北</w:t>
                  </w:r>
                </w:p>
              </w:tc>
              <w:tc>
                <w:tcPr>
                  <w:tcW w:w="558" w:type="pct"/>
                  <w:noWrap w:val="0"/>
                  <w:vAlign w:val="center"/>
                </w:tcPr>
                <w:p>
                  <w:pPr>
                    <w:adjustRightInd w:val="0"/>
                    <w:snapToGrid w:val="0"/>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东</w:t>
                  </w:r>
                </w:p>
              </w:tc>
              <w:tc>
                <w:tcPr>
                  <w:tcW w:w="558" w:type="pct"/>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东</w:t>
                  </w:r>
                  <w:r>
                    <w:rPr>
                      <w:rFonts w:hint="eastAsia" w:ascii="Times New Roman" w:hAnsi="Times New Roman"/>
                      <w:color w:val="auto"/>
                      <w:sz w:val="21"/>
                      <w:szCs w:val="21"/>
                      <w:lang w:val="en-US" w:eastAsia="zh-CN"/>
                    </w:rPr>
                    <w:t>南</w:t>
                  </w:r>
                </w:p>
              </w:tc>
              <w:tc>
                <w:tcPr>
                  <w:tcW w:w="2764" w:type="pct"/>
                  <w:noWrap w:val="0"/>
                  <w:vAlign w:val="center"/>
                </w:tcPr>
                <w:p>
                  <w:pPr>
                    <w:adjustRightInd w:val="0"/>
                    <w:snapToGrid w:val="0"/>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最近敏感点（东）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5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71</w:t>
                  </w:r>
                </w:p>
              </w:tc>
              <w:tc>
                <w:tcPr>
                  <w:tcW w:w="55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48</w:t>
                  </w:r>
                </w:p>
              </w:tc>
              <w:tc>
                <w:tcPr>
                  <w:tcW w:w="55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17</w:t>
                  </w:r>
                </w:p>
              </w:tc>
              <w:tc>
                <w:tcPr>
                  <w:tcW w:w="55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48</w:t>
                  </w:r>
                </w:p>
              </w:tc>
              <w:tc>
                <w:tcPr>
                  <w:tcW w:w="2764"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120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00" w:line="240" w:lineRule="auto"/>
              <w:ind w:firstLine="0" w:firstLineChars="0"/>
              <w:jc w:val="center"/>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w:t>
            </w:r>
            <w:r>
              <w:rPr>
                <w:rFonts w:hint="eastAsia" w:cs="Times New Roman"/>
                <w:b/>
                <w:bCs/>
                <w:color w:val="auto"/>
                <w:highlight w:val="none"/>
                <w:lang w:val="en-US" w:eastAsia="zh-CN"/>
              </w:rPr>
              <w:t>4-5</w:t>
            </w:r>
            <w:r>
              <w:rPr>
                <w:rFonts w:hint="default" w:ascii="Times New Roman" w:hAnsi="Times New Roman" w:cs="Times New Roman"/>
                <w:b/>
                <w:bCs/>
                <w:color w:val="auto"/>
                <w:highlight w:val="none"/>
                <w:lang w:val="en-US" w:eastAsia="zh-CN"/>
              </w:rPr>
              <w:t xml:space="preserve">  噪声影响预测结果（dB(A)）</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303"/>
              <w:gridCol w:w="1123"/>
              <w:gridCol w:w="898"/>
              <w:gridCol w:w="1214"/>
              <w:gridCol w:w="994"/>
              <w:gridCol w:w="12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4" w:type="pct"/>
                  <w:tcBorders>
                    <w:tl2br w:val="nil"/>
                    <w:tr2bl w:val="nil"/>
                  </w:tcBorders>
                  <w:shd w:val="clear" w:color="auto" w:fill="DCE6F2"/>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1341" w:type="pct"/>
                  <w:tcBorders>
                    <w:tl2br w:val="nil"/>
                    <w:tr2bl w:val="nil"/>
                  </w:tcBorders>
                  <w:shd w:val="clear" w:color="auto" w:fill="DCE6F2"/>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监测点</w:t>
                  </w:r>
                </w:p>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位置</w:t>
                  </w:r>
                </w:p>
              </w:tc>
              <w:tc>
                <w:tcPr>
                  <w:tcW w:w="654" w:type="pct"/>
                  <w:tcBorders>
                    <w:tl2br w:val="nil"/>
                    <w:tr2bl w:val="nil"/>
                  </w:tcBorders>
                  <w:shd w:val="clear" w:color="auto" w:fill="DCE6F2"/>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新增设备贡献值</w:t>
                  </w:r>
                </w:p>
              </w:tc>
              <w:tc>
                <w:tcPr>
                  <w:tcW w:w="523" w:type="pct"/>
                  <w:tcBorders>
                    <w:tl2br w:val="nil"/>
                    <w:tr2bl w:val="nil"/>
                  </w:tcBorders>
                  <w:shd w:val="clear" w:color="auto" w:fill="DCE6F2"/>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监测值</w:t>
                  </w:r>
                </w:p>
              </w:tc>
              <w:tc>
                <w:tcPr>
                  <w:tcW w:w="707" w:type="pct"/>
                  <w:tcBorders>
                    <w:tl2br w:val="nil"/>
                    <w:tr2bl w:val="nil"/>
                  </w:tcBorders>
                  <w:shd w:val="clear" w:color="auto" w:fill="DCE6F2"/>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设备减少后背景值</w:t>
                  </w:r>
                </w:p>
              </w:tc>
              <w:tc>
                <w:tcPr>
                  <w:tcW w:w="579" w:type="pct"/>
                  <w:tcBorders>
                    <w:tl2br w:val="nil"/>
                    <w:tr2bl w:val="nil"/>
                  </w:tcBorders>
                  <w:shd w:val="clear" w:color="auto" w:fill="DCE6F2"/>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预测值</w:t>
                  </w:r>
                </w:p>
              </w:tc>
              <w:tc>
                <w:tcPr>
                  <w:tcW w:w="750" w:type="pct"/>
                  <w:tcBorders>
                    <w:tl2br w:val="nil"/>
                    <w:tr2bl w:val="nil"/>
                  </w:tcBorders>
                  <w:shd w:val="clear" w:color="auto" w:fill="DCE6F2"/>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44"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1341" w:type="pct"/>
                  <w:tcBorders>
                    <w:tl2br w:val="nil"/>
                    <w:tr2bl w:val="nil"/>
                  </w:tcBorders>
                  <w:noWrap w:val="0"/>
                  <w:vAlign w:val="center"/>
                </w:tcPr>
                <w:p>
                  <w:pPr>
                    <w:rPr>
                      <w:rFonts w:hint="default"/>
                      <w:color w:val="auto"/>
                      <w:sz w:val="21"/>
                      <w:szCs w:val="21"/>
                      <w:vertAlign w:val="baseline"/>
                      <w:lang w:val="en-US" w:eastAsia="zh-CN"/>
                    </w:rPr>
                  </w:pPr>
                  <w:r>
                    <w:rPr>
                      <w:color w:val="auto"/>
                      <w:sz w:val="21"/>
                      <w:szCs w:val="21"/>
                    </w:rPr>
                    <w:t>1#</w:t>
                  </w:r>
                  <w:r>
                    <w:rPr>
                      <w:rFonts w:hint="eastAsia"/>
                      <w:color w:val="auto"/>
                      <w:sz w:val="21"/>
                      <w:szCs w:val="21"/>
                      <w:lang w:val="en-US" w:eastAsia="zh-CN"/>
                    </w:rPr>
                    <w:t>厂</w:t>
                  </w:r>
                  <w:r>
                    <w:rPr>
                      <w:color w:val="auto"/>
                      <w:sz w:val="21"/>
                      <w:szCs w:val="21"/>
                    </w:rPr>
                    <w:t>界</w:t>
                  </w:r>
                  <w:r>
                    <w:rPr>
                      <w:rFonts w:hint="eastAsia"/>
                      <w:color w:val="auto"/>
                      <w:sz w:val="21"/>
                      <w:szCs w:val="21"/>
                      <w:lang w:val="en-US" w:eastAsia="zh-CN"/>
                    </w:rPr>
                    <w:t>北</w:t>
                  </w:r>
                  <w:r>
                    <w:rPr>
                      <w:color w:val="auto"/>
                      <w:sz w:val="21"/>
                      <w:szCs w:val="21"/>
                    </w:rPr>
                    <w:t>侧外1m</w:t>
                  </w:r>
                  <w:r>
                    <w:rPr>
                      <w:rFonts w:hint="eastAsia"/>
                      <w:color w:val="auto"/>
                      <w:sz w:val="21"/>
                      <w:szCs w:val="21"/>
                      <w:lang w:val="en-US" w:eastAsia="zh-CN"/>
                    </w:rPr>
                    <w:t>处</w:t>
                  </w:r>
                </w:p>
              </w:tc>
              <w:tc>
                <w:tcPr>
                  <w:tcW w:w="654"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34.25</w:t>
                  </w:r>
                </w:p>
              </w:tc>
              <w:tc>
                <w:tcPr>
                  <w:tcW w:w="523"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57.50</w:t>
                  </w:r>
                </w:p>
              </w:tc>
              <w:tc>
                <w:tcPr>
                  <w:tcW w:w="707"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52.62</w:t>
                  </w:r>
                </w:p>
              </w:tc>
              <w:tc>
                <w:tcPr>
                  <w:tcW w:w="579"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55.82</w:t>
                  </w:r>
                </w:p>
              </w:tc>
              <w:tc>
                <w:tcPr>
                  <w:tcW w:w="750"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4"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1341" w:type="pct"/>
                  <w:tcBorders>
                    <w:tl2br w:val="nil"/>
                    <w:tr2bl w:val="nil"/>
                  </w:tcBorders>
                  <w:noWrap w:val="0"/>
                  <w:vAlign w:val="center"/>
                </w:tcPr>
                <w:p>
                  <w:pPr>
                    <w:rPr>
                      <w:rFonts w:hint="default"/>
                      <w:color w:val="auto"/>
                      <w:sz w:val="21"/>
                      <w:szCs w:val="21"/>
                      <w:vertAlign w:val="baseline"/>
                      <w:lang w:val="en-US" w:eastAsia="zh-CN"/>
                    </w:rPr>
                  </w:pPr>
                  <w:r>
                    <w:rPr>
                      <w:color w:val="auto"/>
                      <w:sz w:val="21"/>
                      <w:szCs w:val="21"/>
                    </w:rPr>
                    <w:t>2#</w:t>
                  </w:r>
                  <w:r>
                    <w:rPr>
                      <w:rFonts w:hint="eastAsia"/>
                      <w:color w:val="auto"/>
                      <w:sz w:val="21"/>
                      <w:szCs w:val="21"/>
                      <w:lang w:val="en-US" w:eastAsia="zh-CN"/>
                    </w:rPr>
                    <w:t>厂</w:t>
                  </w:r>
                  <w:r>
                    <w:rPr>
                      <w:color w:val="auto"/>
                      <w:sz w:val="21"/>
                      <w:szCs w:val="21"/>
                    </w:rPr>
                    <w:t>界</w:t>
                  </w:r>
                  <w:r>
                    <w:rPr>
                      <w:rFonts w:hint="eastAsia"/>
                      <w:color w:val="auto"/>
                      <w:sz w:val="21"/>
                      <w:szCs w:val="21"/>
                      <w:lang w:val="en-US" w:eastAsia="zh-CN"/>
                    </w:rPr>
                    <w:t>东北</w:t>
                  </w:r>
                  <w:r>
                    <w:rPr>
                      <w:color w:val="auto"/>
                      <w:sz w:val="21"/>
                      <w:szCs w:val="21"/>
                    </w:rPr>
                    <w:t>侧外1m</w:t>
                  </w:r>
                  <w:r>
                    <w:rPr>
                      <w:rFonts w:hint="eastAsia"/>
                      <w:color w:val="auto"/>
                      <w:sz w:val="21"/>
                      <w:szCs w:val="21"/>
                      <w:lang w:val="en-US" w:eastAsia="zh-CN"/>
                    </w:rPr>
                    <w:t>处</w:t>
                  </w:r>
                </w:p>
              </w:tc>
              <w:tc>
                <w:tcPr>
                  <w:tcW w:w="654"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37.65</w:t>
                  </w:r>
                </w:p>
              </w:tc>
              <w:tc>
                <w:tcPr>
                  <w:tcW w:w="523"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62.75</w:t>
                  </w:r>
                </w:p>
              </w:tc>
              <w:tc>
                <w:tcPr>
                  <w:tcW w:w="707"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56.02</w:t>
                  </w:r>
                </w:p>
              </w:tc>
              <w:tc>
                <w:tcPr>
                  <w:tcW w:w="579"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61.7</w:t>
                  </w:r>
                  <w:r>
                    <w:rPr>
                      <w:rFonts w:hint="eastAsia"/>
                      <w:color w:val="auto"/>
                      <w:sz w:val="21"/>
                      <w:szCs w:val="21"/>
                      <w:vertAlign w:val="baseline"/>
                      <w:lang w:val="en-US" w:eastAsia="zh-CN"/>
                    </w:rPr>
                    <w:t>3</w:t>
                  </w:r>
                </w:p>
              </w:tc>
              <w:tc>
                <w:tcPr>
                  <w:tcW w:w="7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4"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1341" w:type="pct"/>
                  <w:tcBorders>
                    <w:tl2br w:val="nil"/>
                    <w:tr2bl w:val="nil"/>
                  </w:tcBorders>
                  <w:noWrap w:val="0"/>
                  <w:vAlign w:val="center"/>
                </w:tcPr>
                <w:p>
                  <w:pPr>
                    <w:rPr>
                      <w:rFonts w:hint="default"/>
                      <w:color w:val="auto"/>
                      <w:sz w:val="21"/>
                      <w:szCs w:val="21"/>
                      <w:vertAlign w:val="baseline"/>
                      <w:lang w:val="en-US" w:eastAsia="zh-CN"/>
                    </w:rPr>
                  </w:pPr>
                  <w:r>
                    <w:rPr>
                      <w:color w:val="auto"/>
                      <w:sz w:val="21"/>
                      <w:szCs w:val="21"/>
                    </w:rPr>
                    <w:t>3#</w:t>
                  </w:r>
                  <w:r>
                    <w:rPr>
                      <w:rFonts w:hint="eastAsia"/>
                      <w:color w:val="auto"/>
                      <w:sz w:val="21"/>
                      <w:szCs w:val="21"/>
                      <w:lang w:val="en-US" w:eastAsia="zh-CN"/>
                    </w:rPr>
                    <w:t>厂</w:t>
                  </w:r>
                  <w:r>
                    <w:rPr>
                      <w:color w:val="auto"/>
                      <w:sz w:val="21"/>
                      <w:szCs w:val="21"/>
                    </w:rPr>
                    <w:t>界</w:t>
                  </w:r>
                  <w:r>
                    <w:rPr>
                      <w:rFonts w:hint="eastAsia"/>
                      <w:color w:val="auto"/>
                      <w:sz w:val="21"/>
                      <w:szCs w:val="21"/>
                      <w:lang w:val="en-US" w:eastAsia="zh-CN"/>
                    </w:rPr>
                    <w:t>东</w:t>
                  </w:r>
                  <w:r>
                    <w:rPr>
                      <w:color w:val="auto"/>
                      <w:sz w:val="21"/>
                      <w:szCs w:val="21"/>
                    </w:rPr>
                    <w:t>侧外1m</w:t>
                  </w:r>
                  <w:r>
                    <w:rPr>
                      <w:rFonts w:hint="eastAsia"/>
                      <w:color w:val="auto"/>
                      <w:sz w:val="21"/>
                      <w:szCs w:val="21"/>
                      <w:lang w:val="en-US" w:eastAsia="zh-CN"/>
                    </w:rPr>
                    <w:t>处</w:t>
                  </w:r>
                </w:p>
              </w:tc>
              <w:tc>
                <w:tcPr>
                  <w:tcW w:w="654"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46.67</w:t>
                  </w:r>
                </w:p>
              </w:tc>
              <w:tc>
                <w:tcPr>
                  <w:tcW w:w="523"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62.25</w:t>
                  </w:r>
                </w:p>
              </w:tc>
              <w:tc>
                <w:tcPr>
                  <w:tcW w:w="707"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w:t>
                  </w:r>
                  <w:r>
                    <w:rPr>
                      <w:rFonts w:hint="eastAsia"/>
                      <w:color w:val="auto"/>
                      <w:sz w:val="21"/>
                      <w:szCs w:val="21"/>
                      <w:vertAlign w:val="baseline"/>
                      <w:lang w:val="en-US" w:eastAsia="zh-CN"/>
                    </w:rPr>
                    <w:t>0</w:t>
                  </w:r>
                  <w:r>
                    <w:rPr>
                      <w:rFonts w:hint="default"/>
                      <w:color w:val="auto"/>
                      <w:sz w:val="21"/>
                      <w:szCs w:val="21"/>
                      <w:vertAlign w:val="baseline"/>
                      <w:lang w:val="en-US" w:eastAsia="zh-CN"/>
                    </w:rPr>
                    <w:t>.04</w:t>
                  </w:r>
                </w:p>
              </w:tc>
              <w:tc>
                <w:tcPr>
                  <w:tcW w:w="579"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58.55</w:t>
                  </w:r>
                </w:p>
              </w:tc>
              <w:tc>
                <w:tcPr>
                  <w:tcW w:w="7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4"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1341" w:type="pct"/>
                  <w:tcBorders>
                    <w:tl2br w:val="nil"/>
                    <w:tr2bl w:val="nil"/>
                  </w:tcBorders>
                  <w:noWrap w:val="0"/>
                  <w:vAlign w:val="center"/>
                </w:tcPr>
                <w:p>
                  <w:pPr>
                    <w:rPr>
                      <w:rFonts w:hint="default"/>
                      <w:color w:val="auto"/>
                      <w:sz w:val="21"/>
                      <w:szCs w:val="21"/>
                      <w:vertAlign w:val="baseline"/>
                      <w:lang w:val="en-US" w:eastAsia="zh-CN"/>
                    </w:rPr>
                  </w:pPr>
                  <w:r>
                    <w:rPr>
                      <w:color w:val="auto"/>
                      <w:sz w:val="21"/>
                      <w:szCs w:val="21"/>
                    </w:rPr>
                    <w:t>4#</w:t>
                  </w:r>
                  <w:r>
                    <w:rPr>
                      <w:rFonts w:hint="eastAsia"/>
                      <w:color w:val="auto"/>
                      <w:sz w:val="21"/>
                      <w:szCs w:val="21"/>
                      <w:lang w:val="en-US" w:eastAsia="zh-CN"/>
                    </w:rPr>
                    <w:t>厂</w:t>
                  </w:r>
                  <w:r>
                    <w:rPr>
                      <w:color w:val="auto"/>
                      <w:sz w:val="21"/>
                      <w:szCs w:val="21"/>
                    </w:rPr>
                    <w:t>界</w:t>
                  </w:r>
                  <w:r>
                    <w:rPr>
                      <w:rFonts w:hint="eastAsia"/>
                      <w:color w:val="auto"/>
                      <w:sz w:val="21"/>
                      <w:szCs w:val="21"/>
                      <w:lang w:val="en-US" w:eastAsia="zh-CN"/>
                    </w:rPr>
                    <w:t>东南</w:t>
                  </w:r>
                  <w:r>
                    <w:rPr>
                      <w:color w:val="auto"/>
                      <w:sz w:val="21"/>
                      <w:szCs w:val="21"/>
                    </w:rPr>
                    <w:t>侧外1m</w:t>
                  </w:r>
                  <w:r>
                    <w:rPr>
                      <w:rFonts w:hint="eastAsia"/>
                      <w:color w:val="auto"/>
                      <w:sz w:val="21"/>
                      <w:szCs w:val="21"/>
                      <w:lang w:val="en-US" w:eastAsia="zh-CN"/>
                    </w:rPr>
                    <w:t>处</w:t>
                  </w:r>
                </w:p>
              </w:tc>
              <w:tc>
                <w:tcPr>
                  <w:tcW w:w="654"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37.65</w:t>
                  </w:r>
                </w:p>
              </w:tc>
              <w:tc>
                <w:tcPr>
                  <w:tcW w:w="523"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56.5</w:t>
                  </w:r>
                </w:p>
              </w:tc>
              <w:tc>
                <w:tcPr>
                  <w:tcW w:w="707"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56.02</w:t>
                  </w:r>
                </w:p>
              </w:tc>
              <w:tc>
                <w:tcPr>
                  <w:tcW w:w="579"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56.08</w:t>
                  </w:r>
                </w:p>
              </w:tc>
              <w:tc>
                <w:tcPr>
                  <w:tcW w:w="7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4"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341"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sz w:val="21"/>
                      <w:szCs w:val="21"/>
                    </w:rPr>
                  </w:pPr>
                  <w:r>
                    <w:rPr>
                      <w:rFonts w:hint="eastAsia" w:ascii="Times New Roman" w:hAnsi="Times New Roman"/>
                      <w:color w:val="auto"/>
                      <w:sz w:val="21"/>
                      <w:szCs w:val="21"/>
                      <w:lang w:val="en-US" w:eastAsia="zh-CN"/>
                    </w:rPr>
                    <w:t>5#最近敏感点处</w:t>
                  </w:r>
                </w:p>
              </w:tc>
              <w:tc>
                <w:tcPr>
                  <w:tcW w:w="654"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32.69</w:t>
                  </w:r>
                </w:p>
              </w:tc>
              <w:tc>
                <w:tcPr>
                  <w:tcW w:w="523"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w:t>
                  </w:r>
                </w:p>
              </w:tc>
              <w:tc>
                <w:tcPr>
                  <w:tcW w:w="707"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43.41</w:t>
                  </w:r>
                </w:p>
              </w:tc>
              <w:tc>
                <w:tcPr>
                  <w:tcW w:w="579"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49.93</w:t>
                  </w:r>
                </w:p>
              </w:tc>
              <w:tc>
                <w:tcPr>
                  <w:tcW w:w="7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达标</w:t>
                  </w:r>
                </w:p>
              </w:tc>
            </w:tr>
          </w:tbl>
          <w:p>
            <w:pPr>
              <w:pStyle w:val="2"/>
              <w:keepNext w:val="0"/>
              <w:keepLines w:val="0"/>
              <w:pageBreakBefore w:val="0"/>
              <w:widowControl w:val="0"/>
              <w:kinsoku/>
              <w:wordWrap/>
              <w:overflowPunct/>
              <w:topLinePunct w:val="0"/>
              <w:autoSpaceDE/>
              <w:autoSpaceDN/>
              <w:bidi w:val="0"/>
              <w:adjustRightInd w:val="0"/>
              <w:snapToGrid/>
              <w:spacing w:before="0" w:after="0" w:afterAutospacing="0" w:line="240" w:lineRule="auto"/>
              <w:ind w:left="0" w:leftChars="0" w:right="0" w:firstLine="0" w:firstLineChars="0"/>
              <w:textAlignment w:val="baseline"/>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注：本项目夜间不生产</w:t>
            </w:r>
            <w:r>
              <w:rPr>
                <w:rFonts w:hint="eastAsia" w:ascii="宋体" w:eastAsia="宋体" w:cs="宋体"/>
                <w:b/>
                <w:bCs/>
                <w:color w:val="auto"/>
                <w:sz w:val="21"/>
                <w:szCs w:val="21"/>
                <w:lang w:val="en-US" w:eastAsia="zh-CN"/>
              </w:rPr>
              <w:t>，故仅对昼间噪声进行预测。</w:t>
            </w:r>
          </w:p>
          <w:p>
            <w:pPr>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ascii="Times New Roman" w:hAnsi="Times New Roman"/>
                <w:color w:val="auto"/>
                <w:sz w:val="24"/>
                <w:szCs w:val="24"/>
              </w:rPr>
              <w:t>由上表可见，公司对产噪设备和装置采取减振、消声、隔声等降噪措施，将使噪声源的噪声影响大大降低，再加之噪声源强距厂界距离较远，能有效衰减厂界处噪声排放，采取相应措施后本项目生产时厂界噪声预测值均满足《工业企业厂界环境噪声排</w:t>
            </w:r>
            <w:r>
              <w:rPr>
                <w:rFonts w:ascii="Times New Roman" w:hAnsi="Times New Roman" w:eastAsia="宋体" w:cs="Times New Roman"/>
                <w:color w:val="auto"/>
                <w:sz w:val="24"/>
                <w:szCs w:val="24"/>
              </w:rPr>
              <w:t>放标准》（GB 12348-2008）3类标准。</w:t>
            </w:r>
            <w:r>
              <w:rPr>
                <w:rFonts w:hint="eastAsia" w:ascii="Times New Roman" w:hAnsi="Times New Roman" w:eastAsia="宋体" w:cs="Times New Roman"/>
                <w:color w:val="auto"/>
                <w:sz w:val="24"/>
                <w:szCs w:val="24"/>
                <w:lang w:val="en-US" w:eastAsia="zh-CN"/>
              </w:rPr>
              <w:t>敏感点处声环境满足《声环境质量标准</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GB3096-2008）。</w:t>
            </w:r>
          </w:p>
          <w:p>
            <w:pPr>
              <w:adjustRightInd w:val="0"/>
              <w:spacing w:line="360" w:lineRule="auto"/>
              <w:ind w:firstLine="480" w:firstLineChars="200"/>
              <w:rPr>
                <w:color w:val="auto"/>
                <w:sz w:val="24"/>
                <w:szCs w:val="24"/>
              </w:rPr>
            </w:pPr>
            <w:r>
              <w:rPr>
                <w:rFonts w:hint="eastAsia" w:ascii="Times New Roman" w:hAnsi="Times New Roman"/>
                <w:color w:val="auto"/>
                <w:sz w:val="24"/>
                <w:szCs w:val="24"/>
                <w:lang w:val="en-US" w:eastAsia="zh-CN"/>
              </w:rPr>
              <w:t>综上</w:t>
            </w:r>
            <w:r>
              <w:rPr>
                <w:rFonts w:hint="eastAsia" w:ascii="Times New Roman" w:hAnsi="Times New Roman"/>
                <w:color w:val="auto"/>
                <w:sz w:val="24"/>
                <w:szCs w:val="24"/>
              </w:rPr>
              <w:t>，在采取有效综合降噪措施基础上，本项目噪声不会对周围声环境质量产生明显不利影响</w:t>
            </w:r>
            <w:r>
              <w:rPr>
                <w:color w:val="auto"/>
                <w:sz w:val="24"/>
                <w:szCs w:val="24"/>
              </w:rPr>
              <w:t>。在生产中选用采取密闭生产车间、减震、隔音等降噪措施，会进一步减小外放噪音。所以，本项目采取各项噪声防治措施是可行的。</w:t>
            </w:r>
          </w:p>
          <w:p>
            <w:pPr>
              <w:spacing w:line="360" w:lineRule="auto"/>
              <w:ind w:firstLine="422" w:firstLineChars="200"/>
              <w:rPr>
                <w:rFonts w:hint="eastAsia"/>
                <w:b/>
                <w:color w:val="auto"/>
                <w:sz w:val="21"/>
                <w:szCs w:val="21"/>
              </w:rPr>
            </w:pPr>
            <w:r>
              <w:rPr>
                <w:rFonts w:hint="eastAsia"/>
                <w:b/>
                <w:color w:val="auto"/>
                <w:sz w:val="21"/>
                <w:szCs w:val="21"/>
              </w:rPr>
              <w:t>（</w:t>
            </w:r>
            <w:r>
              <w:rPr>
                <w:rFonts w:hint="eastAsia"/>
                <w:b/>
                <w:color w:val="auto"/>
                <w:sz w:val="21"/>
                <w:szCs w:val="21"/>
                <w:lang w:val="en-US" w:eastAsia="zh-CN"/>
              </w:rPr>
              <w:t>4</w:t>
            </w:r>
            <w:r>
              <w:rPr>
                <w:rFonts w:hint="eastAsia"/>
                <w:b/>
                <w:color w:val="auto"/>
                <w:sz w:val="21"/>
                <w:szCs w:val="21"/>
              </w:rPr>
              <w:t>）监测计划</w:t>
            </w:r>
          </w:p>
          <w:p>
            <w:pPr>
              <w:pStyle w:val="10"/>
              <w:spacing w:before="0" w:after="0" w:line="240" w:lineRule="auto"/>
              <w:ind w:right="0"/>
              <w:jc w:val="center"/>
              <w:rPr>
                <w:b/>
                <w:bCs/>
                <w:color w:val="auto"/>
                <w:sz w:val="21"/>
                <w:szCs w:val="22"/>
              </w:rPr>
            </w:pPr>
            <w:r>
              <w:rPr>
                <w:b/>
                <w:bCs/>
                <w:color w:val="auto"/>
                <w:sz w:val="21"/>
                <w:szCs w:val="22"/>
              </w:rPr>
              <w:t>表4-</w:t>
            </w:r>
            <w:r>
              <w:rPr>
                <w:rFonts w:hint="eastAsia"/>
                <w:b/>
                <w:bCs/>
                <w:color w:val="auto"/>
                <w:sz w:val="21"/>
                <w:szCs w:val="22"/>
                <w:lang w:val="en-US" w:eastAsia="zh-CN"/>
              </w:rPr>
              <w:t>6</w:t>
            </w:r>
            <w:r>
              <w:rPr>
                <w:rFonts w:hint="eastAsia"/>
                <w:b/>
                <w:bCs/>
                <w:color w:val="auto"/>
                <w:sz w:val="21"/>
                <w:szCs w:val="22"/>
              </w:rPr>
              <w:t xml:space="preserve"> 噪声跟踪监测计划 </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099"/>
              <w:gridCol w:w="1296"/>
              <w:gridCol w:w="1099"/>
              <w:gridCol w:w="1164"/>
              <w:gridCol w:w="32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DCE6F2" w:themeFill="accent1" w:themeFillTint="32"/>
                  <w:noWrap w:val="0"/>
                  <w:vAlign w:val="center"/>
                </w:tcPr>
                <w:p>
                  <w:pPr>
                    <w:jc w:val="center"/>
                    <w:rPr>
                      <w:b/>
                      <w:color w:val="auto"/>
                      <w:szCs w:val="21"/>
                    </w:rPr>
                  </w:pPr>
                  <w:r>
                    <w:rPr>
                      <w:rFonts w:hint="eastAsia"/>
                      <w:b/>
                      <w:color w:val="auto"/>
                      <w:szCs w:val="21"/>
                    </w:rPr>
                    <w:t>类型</w:t>
                  </w:r>
                </w:p>
              </w:tc>
              <w:tc>
                <w:tcPr>
                  <w:tcW w:w="1119" w:type="dxa"/>
                  <w:shd w:val="clear" w:color="auto" w:fill="DCE6F2" w:themeFill="accent1" w:themeFillTint="32"/>
                  <w:noWrap w:val="0"/>
                  <w:vAlign w:val="center"/>
                </w:tcPr>
                <w:p>
                  <w:pPr>
                    <w:jc w:val="center"/>
                    <w:rPr>
                      <w:b/>
                      <w:color w:val="auto"/>
                      <w:szCs w:val="21"/>
                    </w:rPr>
                  </w:pPr>
                  <w:r>
                    <w:rPr>
                      <w:rFonts w:hint="eastAsia"/>
                      <w:b/>
                      <w:color w:val="auto"/>
                      <w:szCs w:val="21"/>
                    </w:rPr>
                    <w:t>污染源</w:t>
                  </w:r>
                </w:p>
              </w:tc>
              <w:tc>
                <w:tcPr>
                  <w:tcW w:w="1322" w:type="dxa"/>
                  <w:shd w:val="clear" w:color="auto" w:fill="DCE6F2" w:themeFill="accent1" w:themeFillTint="32"/>
                  <w:noWrap w:val="0"/>
                  <w:vAlign w:val="center"/>
                </w:tcPr>
                <w:p>
                  <w:pPr>
                    <w:jc w:val="center"/>
                    <w:rPr>
                      <w:b/>
                      <w:color w:val="auto"/>
                      <w:szCs w:val="21"/>
                    </w:rPr>
                  </w:pPr>
                  <w:r>
                    <w:rPr>
                      <w:rFonts w:hint="eastAsia"/>
                      <w:b/>
                      <w:color w:val="auto"/>
                      <w:szCs w:val="21"/>
                    </w:rPr>
                    <w:t>监测点位</w:t>
                  </w:r>
                </w:p>
              </w:tc>
              <w:tc>
                <w:tcPr>
                  <w:tcW w:w="1119" w:type="dxa"/>
                  <w:shd w:val="clear" w:color="auto" w:fill="DCE6F2" w:themeFill="accent1" w:themeFillTint="32"/>
                  <w:noWrap w:val="0"/>
                  <w:vAlign w:val="center"/>
                </w:tcPr>
                <w:p>
                  <w:pPr>
                    <w:jc w:val="center"/>
                    <w:rPr>
                      <w:b/>
                      <w:color w:val="auto"/>
                      <w:szCs w:val="21"/>
                    </w:rPr>
                  </w:pPr>
                  <w:r>
                    <w:rPr>
                      <w:rFonts w:hint="eastAsia"/>
                      <w:b/>
                      <w:color w:val="auto"/>
                      <w:szCs w:val="21"/>
                    </w:rPr>
                    <w:t>监测指标</w:t>
                  </w:r>
                </w:p>
              </w:tc>
              <w:tc>
                <w:tcPr>
                  <w:tcW w:w="1186" w:type="dxa"/>
                  <w:shd w:val="clear" w:color="auto" w:fill="DCE6F2" w:themeFill="accent1" w:themeFillTint="32"/>
                  <w:noWrap w:val="0"/>
                  <w:vAlign w:val="center"/>
                </w:tcPr>
                <w:p>
                  <w:pPr>
                    <w:rPr>
                      <w:b/>
                      <w:color w:val="auto"/>
                      <w:szCs w:val="21"/>
                    </w:rPr>
                  </w:pPr>
                  <w:r>
                    <w:rPr>
                      <w:rFonts w:hint="eastAsia"/>
                      <w:b/>
                      <w:color w:val="auto"/>
                      <w:szCs w:val="21"/>
                    </w:rPr>
                    <w:t>监测频次</w:t>
                  </w:r>
                </w:p>
              </w:tc>
              <w:tc>
                <w:tcPr>
                  <w:tcW w:w="3290" w:type="dxa"/>
                  <w:shd w:val="clear" w:color="auto" w:fill="DCE6F2" w:themeFill="accent1" w:themeFillTint="32"/>
                  <w:noWrap w:val="0"/>
                  <w:vAlign w:val="center"/>
                </w:tcPr>
                <w:p>
                  <w:pPr>
                    <w:jc w:val="center"/>
                    <w:rPr>
                      <w:b/>
                      <w:color w:val="auto"/>
                      <w:szCs w:val="21"/>
                    </w:rPr>
                  </w:pPr>
                  <w:r>
                    <w:rPr>
                      <w:rFonts w:hint="eastAsia"/>
                      <w:b/>
                      <w:color w:val="auto"/>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noWrap w:val="0"/>
                  <w:vAlign w:val="center"/>
                </w:tcPr>
                <w:p>
                  <w:pPr>
                    <w:jc w:val="center"/>
                    <w:rPr>
                      <w:bCs/>
                      <w:color w:val="auto"/>
                      <w:szCs w:val="21"/>
                    </w:rPr>
                  </w:pPr>
                  <w:r>
                    <w:rPr>
                      <w:rFonts w:hint="eastAsia"/>
                      <w:bCs/>
                      <w:color w:val="auto"/>
                      <w:szCs w:val="21"/>
                    </w:rPr>
                    <w:t>噪声</w:t>
                  </w:r>
                </w:p>
              </w:tc>
              <w:tc>
                <w:tcPr>
                  <w:tcW w:w="1119" w:type="dxa"/>
                  <w:noWrap w:val="0"/>
                  <w:vAlign w:val="center"/>
                </w:tcPr>
                <w:p>
                  <w:pPr>
                    <w:jc w:val="center"/>
                    <w:rPr>
                      <w:bCs/>
                      <w:color w:val="auto"/>
                      <w:szCs w:val="21"/>
                    </w:rPr>
                  </w:pPr>
                  <w:r>
                    <w:rPr>
                      <w:rFonts w:hint="eastAsia"/>
                      <w:bCs/>
                      <w:color w:val="auto"/>
                      <w:szCs w:val="21"/>
                    </w:rPr>
                    <w:t>厂界噪声</w:t>
                  </w:r>
                </w:p>
              </w:tc>
              <w:tc>
                <w:tcPr>
                  <w:tcW w:w="1322" w:type="dxa"/>
                  <w:noWrap w:val="0"/>
                  <w:vAlign w:val="center"/>
                </w:tcPr>
                <w:p>
                  <w:pPr>
                    <w:jc w:val="center"/>
                    <w:rPr>
                      <w:bCs/>
                      <w:color w:val="auto"/>
                      <w:szCs w:val="21"/>
                    </w:rPr>
                  </w:pPr>
                  <w:r>
                    <w:rPr>
                      <w:rFonts w:hint="eastAsia"/>
                      <w:bCs/>
                      <w:color w:val="auto"/>
                      <w:szCs w:val="21"/>
                    </w:rPr>
                    <w:t>厂界四周</w:t>
                  </w:r>
                </w:p>
              </w:tc>
              <w:tc>
                <w:tcPr>
                  <w:tcW w:w="1119" w:type="dxa"/>
                  <w:noWrap w:val="0"/>
                  <w:vAlign w:val="center"/>
                </w:tcPr>
                <w:p>
                  <w:pPr>
                    <w:jc w:val="center"/>
                    <w:rPr>
                      <w:bCs/>
                      <w:color w:val="auto"/>
                      <w:szCs w:val="21"/>
                    </w:rPr>
                  </w:pPr>
                  <w:r>
                    <w:rPr>
                      <w:rFonts w:hint="eastAsia"/>
                      <w:bCs/>
                      <w:color w:val="auto"/>
                      <w:szCs w:val="21"/>
                    </w:rPr>
                    <w:t>噪声</w:t>
                  </w:r>
                </w:p>
              </w:tc>
              <w:tc>
                <w:tcPr>
                  <w:tcW w:w="1186" w:type="dxa"/>
                  <w:noWrap w:val="0"/>
                  <w:vAlign w:val="center"/>
                </w:tcPr>
                <w:p>
                  <w:pPr>
                    <w:jc w:val="center"/>
                    <w:rPr>
                      <w:bCs/>
                      <w:color w:val="auto"/>
                      <w:szCs w:val="21"/>
                    </w:rPr>
                  </w:pPr>
                  <w:r>
                    <w:rPr>
                      <w:rFonts w:hint="eastAsia"/>
                      <w:bCs/>
                      <w:color w:val="auto"/>
                      <w:szCs w:val="21"/>
                      <w:lang w:eastAsia="zh-CN"/>
                    </w:rPr>
                    <w:t>每年</w:t>
                  </w:r>
                  <w:r>
                    <w:rPr>
                      <w:rFonts w:hint="eastAsia"/>
                      <w:bCs/>
                      <w:color w:val="auto"/>
                      <w:szCs w:val="21"/>
                    </w:rPr>
                    <w:t>1次</w:t>
                  </w:r>
                </w:p>
              </w:tc>
              <w:tc>
                <w:tcPr>
                  <w:tcW w:w="3290" w:type="dxa"/>
                  <w:noWrap w:val="0"/>
                  <w:vAlign w:val="center"/>
                </w:tcPr>
                <w:p>
                  <w:pPr>
                    <w:jc w:val="center"/>
                    <w:rPr>
                      <w:bCs/>
                      <w:color w:val="auto"/>
                      <w:szCs w:val="21"/>
                    </w:rPr>
                  </w:pPr>
                  <w:r>
                    <w:rPr>
                      <w:color w:val="auto"/>
                      <w:szCs w:val="21"/>
                    </w:rPr>
                    <w:t>厂界</w:t>
                  </w:r>
                  <w:r>
                    <w:rPr>
                      <w:rFonts w:hint="eastAsia"/>
                      <w:color w:val="auto"/>
                      <w:szCs w:val="21"/>
                    </w:rPr>
                    <w:t>执行</w:t>
                  </w:r>
                  <w:r>
                    <w:rPr>
                      <w:color w:val="auto"/>
                      <w:szCs w:val="21"/>
                    </w:rPr>
                    <w:t>《工业企业厂界环境噪声排放标准》（GB12348－2008）3类标准</w:t>
                  </w:r>
                </w:p>
              </w:tc>
            </w:tr>
          </w:tbl>
          <w:p>
            <w:pPr>
              <w:numPr>
                <w:ilvl w:val="0"/>
                <w:numId w:val="0"/>
              </w:numPr>
              <w:spacing w:line="360" w:lineRule="auto"/>
              <w:rPr>
                <w:b/>
                <w:color w:val="auto"/>
                <w:kern w:val="0"/>
                <w:sz w:val="21"/>
                <w:szCs w:val="21"/>
              </w:rPr>
            </w:pPr>
            <w:r>
              <w:rPr>
                <w:rFonts w:hint="eastAsia"/>
                <w:b/>
                <w:color w:val="auto"/>
                <w:sz w:val="21"/>
                <w:szCs w:val="21"/>
                <w:lang w:val="en-US" w:eastAsia="zh-CN"/>
              </w:rPr>
              <w:t>4、</w:t>
            </w:r>
            <w:r>
              <w:rPr>
                <w:b/>
                <w:color w:val="auto"/>
                <w:sz w:val="21"/>
                <w:szCs w:val="21"/>
              </w:rPr>
              <w:t>固体废弃物</w:t>
            </w:r>
          </w:p>
          <w:p>
            <w:pPr>
              <w:numPr>
                <w:ilvl w:val="0"/>
                <w:numId w:val="0"/>
              </w:numPr>
              <w:spacing w:line="360" w:lineRule="auto"/>
              <w:ind w:firstLine="211" w:firstLineChars="10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1</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固废产生情况及处理措施</w:t>
            </w:r>
          </w:p>
          <w:p>
            <w:pPr>
              <w:pStyle w:val="2"/>
              <w:keepNext w:val="0"/>
              <w:keepLines w:val="0"/>
              <w:pageBreakBefore w:val="0"/>
              <w:widowControl w:val="0"/>
              <w:kinsoku/>
              <w:wordWrap/>
              <w:overflowPunct/>
              <w:topLinePunct w:val="0"/>
              <w:autoSpaceDE/>
              <w:autoSpaceDN/>
              <w:bidi w:val="0"/>
              <w:adjustRightInd/>
              <w:snapToGrid/>
              <w:spacing w:before="0" w:after="0" w:afterAutospacing="0" w:line="360" w:lineRule="auto"/>
              <w:ind w:left="0" w:right="0" w:firstLine="472" w:firstLineChars="200"/>
              <w:textAlignment w:val="auto"/>
              <w:rPr>
                <w:rFonts w:ascii="Times New Roman" w:hAnsi="Times New Roman" w:eastAsia="宋体"/>
                <w:bCs/>
                <w:color w:val="auto"/>
                <w:sz w:val="24"/>
                <w:szCs w:val="24"/>
              </w:rPr>
            </w:pPr>
            <w:r>
              <w:rPr>
                <w:rFonts w:ascii="Times New Roman" w:hAnsi="Times New Roman" w:eastAsia="宋体"/>
                <w:bCs/>
                <w:color w:val="auto"/>
                <w:sz w:val="24"/>
                <w:szCs w:val="24"/>
              </w:rPr>
              <w:t>固体废弃物的产生及处置情况见下表：</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firstLineChars="0"/>
              <w:jc w:val="center"/>
              <w:textAlignment w:val="auto"/>
              <w:rPr>
                <w:rFonts w:ascii="Times New Roman" w:hAnsi="Times New Roman" w:eastAsia="宋体"/>
                <w:b/>
                <w:color w:val="auto"/>
                <w:sz w:val="21"/>
                <w:szCs w:val="21"/>
              </w:rPr>
            </w:pPr>
            <w:r>
              <w:rPr>
                <w:rFonts w:ascii="Times New Roman" w:hAnsi="Times New Roman" w:eastAsia="宋体"/>
                <w:b/>
                <w:color w:val="auto"/>
                <w:sz w:val="21"/>
                <w:szCs w:val="21"/>
              </w:rPr>
              <w:t>表</w:t>
            </w:r>
            <w:r>
              <w:rPr>
                <w:rFonts w:hint="eastAsia" w:ascii="Times New Roman" w:hAnsi="Times New Roman" w:eastAsia="宋体"/>
                <w:b/>
                <w:color w:val="auto"/>
                <w:sz w:val="21"/>
                <w:szCs w:val="21"/>
                <w:lang w:val="en-US" w:eastAsia="zh-CN"/>
              </w:rPr>
              <w:t>4-7</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lang w:val="en-US" w:eastAsia="zh-CN"/>
              </w:rPr>
              <w:t>技改后项目</w:t>
            </w:r>
            <w:r>
              <w:rPr>
                <w:rFonts w:ascii="Times New Roman" w:hAnsi="Times New Roman" w:eastAsia="宋体"/>
                <w:b/>
                <w:color w:val="auto"/>
                <w:sz w:val="21"/>
                <w:szCs w:val="21"/>
              </w:rPr>
              <w:t>固废产生及排放状况一览表</w:t>
            </w:r>
          </w:p>
          <w:tbl>
            <w:tblPr>
              <w:tblStyle w:val="30"/>
              <w:tblW w:w="493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280"/>
              <w:gridCol w:w="2"/>
              <w:gridCol w:w="1285"/>
              <w:gridCol w:w="1077"/>
              <w:gridCol w:w="1402"/>
              <w:gridCol w:w="26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43"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序号</w:t>
                  </w:r>
                </w:p>
              </w:tc>
              <w:tc>
                <w:tcPr>
                  <w:tcW w:w="1514" w:type="pct"/>
                  <w:gridSpan w:val="3"/>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污染物名称</w:t>
                  </w:r>
                </w:p>
              </w:tc>
              <w:tc>
                <w:tcPr>
                  <w:tcW w:w="635"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性质</w:t>
                  </w:r>
                </w:p>
              </w:tc>
              <w:tc>
                <w:tcPr>
                  <w:tcW w:w="827"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产生量（t/a）</w:t>
                  </w:r>
                </w:p>
              </w:tc>
              <w:tc>
                <w:tcPr>
                  <w:tcW w:w="1579" w:type="pct"/>
                  <w:shd w:val="clear" w:color="auto" w:fill="DCE6F2"/>
                  <w:noWrap w:val="0"/>
                  <w:vAlign w:val="center"/>
                </w:tcPr>
                <w:p>
                  <w:pPr>
                    <w:pStyle w:val="2"/>
                    <w:adjustRightInd/>
                    <w:spacing w:before="0" w:line="240" w:lineRule="auto"/>
                    <w:ind w:left="0" w:right="0" w:firstLine="0"/>
                    <w:jc w:val="center"/>
                    <w:textAlignment w:val="auto"/>
                    <w:rPr>
                      <w:rFonts w:ascii="Times New Roman" w:hAnsi="Times New Roman" w:eastAsia="宋体"/>
                      <w:b/>
                      <w:bCs w:val="0"/>
                      <w:color w:val="auto"/>
                      <w:sz w:val="21"/>
                      <w:szCs w:val="21"/>
                    </w:rPr>
                  </w:pPr>
                  <w:r>
                    <w:rPr>
                      <w:rFonts w:ascii="Times New Roman" w:hAnsi="Times New Roman" w:eastAsia="宋体"/>
                      <w:b/>
                      <w:bCs w:val="0"/>
                      <w:color w:val="auto"/>
                      <w:sz w:val="21"/>
                      <w:szCs w:val="21"/>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1</w:t>
                  </w:r>
                </w:p>
              </w:tc>
              <w:tc>
                <w:tcPr>
                  <w:tcW w:w="1514" w:type="pct"/>
                  <w:gridSpan w:val="3"/>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color w:val="auto"/>
                      <w:sz w:val="21"/>
                      <w:szCs w:val="21"/>
                    </w:rPr>
                    <w:t>清洗</w:t>
                  </w:r>
                  <w:r>
                    <w:rPr>
                      <w:rFonts w:hint="eastAsia" w:ascii="Times New Roman" w:hAnsi="Times New Roman"/>
                      <w:color w:val="auto"/>
                      <w:sz w:val="21"/>
                      <w:szCs w:val="21"/>
                      <w:lang w:val="en-US" w:eastAsia="zh-CN"/>
                    </w:rPr>
                    <w:t>沉淀池</w:t>
                  </w:r>
                  <w:r>
                    <w:rPr>
                      <w:rFonts w:hint="eastAsia" w:ascii="Times New Roman" w:hAnsi="Times New Roman"/>
                      <w:color w:val="auto"/>
                      <w:sz w:val="21"/>
                      <w:szCs w:val="21"/>
                    </w:rPr>
                    <w:t>产生</w:t>
                  </w:r>
                  <w:r>
                    <w:rPr>
                      <w:rFonts w:hint="eastAsia" w:ascii="Times New Roman" w:hAnsi="Times New Roman"/>
                      <w:color w:val="auto"/>
                      <w:sz w:val="21"/>
                      <w:szCs w:val="21"/>
                      <w:lang w:val="en-US" w:eastAsia="zh-CN"/>
                    </w:rPr>
                    <w:t>污泥</w:t>
                  </w:r>
                </w:p>
              </w:tc>
              <w:tc>
                <w:tcPr>
                  <w:tcW w:w="635" w:type="pct"/>
                  <w:vMerge w:val="restar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一般固废</w:t>
                  </w:r>
                </w:p>
              </w:tc>
              <w:tc>
                <w:tcPr>
                  <w:tcW w:w="827" w:type="pct"/>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rPr>
                    <w:t>1</w:t>
                  </w:r>
                  <w:r>
                    <w:rPr>
                      <w:rFonts w:hint="eastAsia" w:ascii="Times New Roman" w:hAnsi="Times New Roman" w:eastAsia="宋体"/>
                      <w:bCs/>
                      <w:color w:val="auto"/>
                      <w:sz w:val="21"/>
                      <w:szCs w:val="21"/>
                      <w:lang w:val="en-US" w:eastAsia="zh-CN"/>
                    </w:rPr>
                    <w:t>90</w:t>
                  </w:r>
                </w:p>
              </w:tc>
              <w:tc>
                <w:tcPr>
                  <w:tcW w:w="1579"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暂存于一般固废暂存区定期交环卫部门统一清运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2</w:t>
                  </w:r>
                </w:p>
              </w:tc>
              <w:tc>
                <w:tcPr>
                  <w:tcW w:w="1514" w:type="pct"/>
                  <w:gridSpan w:val="3"/>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eastAsia" w:ascii="Times New Roman" w:hAnsi="Times New Roman"/>
                      <w:color w:val="auto"/>
                      <w:sz w:val="21"/>
                      <w:szCs w:val="21"/>
                    </w:rPr>
                    <w:t>废包装材料</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27" w:type="pct"/>
                  <w:noWrap w:val="0"/>
                  <w:vAlign w:val="center"/>
                </w:tcPr>
                <w:p>
                  <w:pPr>
                    <w:pStyle w:val="28"/>
                    <w:spacing w:after="0" w:line="240" w:lineRule="auto"/>
                    <w:ind w:right="113" w:rightChars="0" w:firstLine="0" w:firstLineChars="0"/>
                    <w:jc w:val="center"/>
                    <w:rPr>
                      <w:rFonts w:hint="eastAsia" w:ascii="Times New Roman" w:hAnsi="Times New Roman" w:eastAsia="宋体"/>
                      <w:bCs/>
                      <w:color w:val="auto"/>
                      <w:sz w:val="21"/>
                      <w:szCs w:val="21"/>
                      <w:lang w:eastAsia="zh-CN"/>
                    </w:rPr>
                  </w:pPr>
                  <w:r>
                    <w:rPr>
                      <w:rFonts w:hint="eastAsia" w:ascii="Times New Roman" w:hAnsi="Times New Roman"/>
                      <w:color w:val="auto"/>
                      <w:sz w:val="21"/>
                      <w:szCs w:val="21"/>
                    </w:rPr>
                    <w:t>0.</w:t>
                  </w:r>
                  <w:r>
                    <w:rPr>
                      <w:rFonts w:hint="eastAsia" w:ascii="Times New Roman" w:hAnsi="Times New Roman"/>
                      <w:color w:val="auto"/>
                      <w:sz w:val="21"/>
                      <w:szCs w:val="21"/>
                      <w:lang w:val="en-US" w:eastAsia="zh-CN"/>
                    </w:rPr>
                    <w:t>5</w:t>
                  </w:r>
                </w:p>
              </w:tc>
              <w:tc>
                <w:tcPr>
                  <w:tcW w:w="1579"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属于一般工业固体废物，外售废品回收站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3</w:t>
                  </w:r>
                </w:p>
              </w:tc>
              <w:tc>
                <w:tcPr>
                  <w:tcW w:w="1514" w:type="pct"/>
                  <w:gridSpan w:val="3"/>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eastAsia" w:ascii="Times New Roman" w:hAnsi="Times New Roman"/>
                      <w:color w:val="auto"/>
                      <w:sz w:val="21"/>
                      <w:szCs w:val="21"/>
                    </w:rPr>
                    <w:t>次品丝</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27" w:type="pct"/>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color w:val="auto"/>
                      <w:sz w:val="21"/>
                      <w:szCs w:val="21"/>
                      <w:lang w:val="en-US" w:eastAsia="zh-CN"/>
                    </w:rPr>
                    <w:t>200</w:t>
                  </w:r>
                </w:p>
              </w:tc>
              <w:tc>
                <w:tcPr>
                  <w:tcW w:w="1579"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收集后返回现有再生塑料颗粒生产线再利用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4</w:t>
                  </w:r>
                </w:p>
              </w:tc>
              <w:tc>
                <w:tcPr>
                  <w:tcW w:w="1514" w:type="pct"/>
                  <w:gridSpan w:val="3"/>
                  <w:noWrap w:val="0"/>
                  <w:vAlign w:val="center"/>
                </w:tcPr>
                <w:p>
                  <w:pPr>
                    <w:pStyle w:val="28"/>
                    <w:spacing w:after="0" w:line="240" w:lineRule="auto"/>
                    <w:ind w:right="113" w:rightChars="0" w:firstLine="0" w:firstLineChars="0"/>
                    <w:jc w:val="center"/>
                    <w:rPr>
                      <w:rFonts w:hint="eastAsia" w:ascii="Times New Roman" w:hAnsi="Times New Roman"/>
                      <w:color w:val="auto"/>
                      <w:sz w:val="21"/>
                      <w:szCs w:val="21"/>
                      <w:highlight w:val="none"/>
                    </w:rPr>
                  </w:pPr>
                  <w:r>
                    <w:rPr>
                      <w:rFonts w:ascii="Times New Roman" w:hAnsi="Times New Roman" w:eastAsia="宋体"/>
                      <w:bCs/>
                      <w:color w:val="auto"/>
                      <w:sz w:val="21"/>
                      <w:szCs w:val="21"/>
                      <w:highlight w:val="none"/>
                    </w:rPr>
                    <w:t>生活垃圾</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highlight w:val="none"/>
                    </w:rPr>
                  </w:pPr>
                </w:p>
              </w:tc>
              <w:tc>
                <w:tcPr>
                  <w:tcW w:w="827" w:type="pct"/>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18</w:t>
                  </w:r>
                </w:p>
              </w:tc>
              <w:tc>
                <w:tcPr>
                  <w:tcW w:w="1579"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rPr>
                  </w:pPr>
                  <w:r>
                    <w:rPr>
                      <w:rFonts w:ascii="Times New Roman" w:hAnsi="Times New Roman" w:eastAsia="宋体"/>
                      <w:bCs/>
                      <w:color w:val="auto"/>
                      <w:sz w:val="21"/>
                      <w:szCs w:val="21"/>
                    </w:rPr>
                    <w:t>垃圾桶收集，交环卫部门清运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5</w:t>
                  </w:r>
                </w:p>
              </w:tc>
              <w:tc>
                <w:tcPr>
                  <w:tcW w:w="1514" w:type="pct"/>
                  <w:gridSpan w:val="3"/>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废过滤棉</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27" w:type="pct"/>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lang w:val="en-US" w:eastAsia="zh-CN"/>
                    </w:rPr>
                  </w:pPr>
                  <w:r>
                    <w:rPr>
                      <w:rFonts w:ascii="Times New Roman" w:hAnsi="Times New Roman" w:eastAsia="宋体"/>
                      <w:bCs/>
                      <w:color w:val="auto"/>
                      <w:sz w:val="21"/>
                      <w:szCs w:val="21"/>
                    </w:rPr>
                    <w:t>1410m</w:t>
                  </w:r>
                  <w:r>
                    <w:rPr>
                      <w:rFonts w:ascii="Times New Roman" w:hAnsi="Times New Roman" w:eastAsia="宋体"/>
                      <w:bCs/>
                      <w:color w:val="auto"/>
                      <w:sz w:val="21"/>
                      <w:szCs w:val="21"/>
                      <w:vertAlign w:val="superscript"/>
                    </w:rPr>
                    <w:t>2</w:t>
                  </w:r>
                  <w:r>
                    <w:rPr>
                      <w:rFonts w:ascii="Times New Roman" w:hAnsi="Times New Roman" w:eastAsia="宋体"/>
                      <w:bCs/>
                      <w:color w:val="auto"/>
                      <w:sz w:val="21"/>
                      <w:szCs w:val="21"/>
                    </w:rPr>
                    <w:t>/a</w:t>
                  </w:r>
                </w:p>
              </w:tc>
              <w:tc>
                <w:tcPr>
                  <w:tcW w:w="1579"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由</w:t>
                  </w:r>
                  <w:r>
                    <w:rPr>
                      <w:rFonts w:ascii="Times New Roman" w:hAnsi="Times New Roman" w:eastAsia="宋体"/>
                      <w:bCs/>
                      <w:color w:val="auto"/>
                      <w:sz w:val="21"/>
                      <w:szCs w:val="21"/>
                    </w:rPr>
                    <w:t>厂家回收</w:t>
                  </w:r>
                  <w:r>
                    <w:rPr>
                      <w:rFonts w:hint="eastAsia" w:ascii="Times New Roman" w:hAnsi="Times New Roman" w:eastAsia="宋体"/>
                      <w:bCs/>
                      <w:color w:val="auto"/>
                      <w:sz w:val="21"/>
                      <w:szCs w:val="21"/>
                      <w:lang w:val="en-US" w:eastAsia="zh-CN"/>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宋体" w:cs="宋体"/>
                      <w:bCs/>
                      <w:color w:val="auto"/>
                      <w:spacing w:val="-2"/>
                      <w:kern w:val="0"/>
                      <w:sz w:val="21"/>
                      <w:szCs w:val="21"/>
                      <w:lang w:val="en-US" w:eastAsia="zh-CN" w:bidi="ar-SA"/>
                    </w:rPr>
                  </w:pPr>
                  <w:r>
                    <w:rPr>
                      <w:rFonts w:hint="eastAsia" w:ascii="Times New Roman" w:hAnsi="Times New Roman" w:eastAsia="宋体"/>
                      <w:bCs/>
                      <w:color w:val="auto"/>
                      <w:sz w:val="21"/>
                      <w:szCs w:val="21"/>
                      <w:lang w:val="en-US" w:eastAsia="zh-CN"/>
                    </w:rPr>
                    <w:t>6</w:t>
                  </w:r>
                </w:p>
              </w:tc>
              <w:tc>
                <w:tcPr>
                  <w:tcW w:w="1514" w:type="pct"/>
                  <w:gridSpan w:val="3"/>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highlight w:val="none"/>
                    </w:rPr>
                  </w:pPr>
                  <w:r>
                    <w:rPr>
                      <w:rFonts w:hint="eastAsia" w:ascii="Times New Roman" w:hAnsi="Times New Roman"/>
                      <w:color w:val="auto"/>
                      <w:sz w:val="21"/>
                      <w:szCs w:val="21"/>
                      <w:highlight w:val="none"/>
                    </w:rPr>
                    <w:t>除尘灰</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highlight w:val="none"/>
                    </w:rPr>
                  </w:pPr>
                </w:p>
              </w:tc>
              <w:tc>
                <w:tcPr>
                  <w:tcW w:w="827" w:type="pct"/>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color w:val="auto"/>
                      <w:sz w:val="21"/>
                      <w:szCs w:val="21"/>
                      <w:highlight w:val="none"/>
                    </w:rPr>
                    <w:t>0.</w:t>
                  </w:r>
                  <w:r>
                    <w:rPr>
                      <w:rFonts w:hint="eastAsia" w:ascii="Times New Roman" w:hAnsi="Times New Roman"/>
                      <w:color w:val="auto"/>
                      <w:sz w:val="21"/>
                      <w:szCs w:val="21"/>
                      <w:highlight w:val="none"/>
                      <w:lang w:val="en-US" w:eastAsia="zh-CN"/>
                    </w:rPr>
                    <w:t>89</w:t>
                  </w:r>
                </w:p>
              </w:tc>
              <w:tc>
                <w:tcPr>
                  <w:tcW w:w="1579"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收集后交由环卫部门统一处理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宋体"/>
                      <w:bCs/>
                      <w:color w:val="auto"/>
                      <w:spacing w:val="-2"/>
                      <w:kern w:val="0"/>
                      <w:sz w:val="21"/>
                      <w:szCs w:val="21"/>
                      <w:lang w:val="en-US" w:eastAsia="zh-CN" w:bidi="ar-SA"/>
                    </w:rPr>
                  </w:pPr>
                  <w:r>
                    <w:rPr>
                      <w:rFonts w:hint="eastAsia" w:ascii="Times New Roman" w:hAnsi="Times New Roman" w:eastAsia="宋体"/>
                      <w:bCs/>
                      <w:color w:val="auto"/>
                      <w:sz w:val="21"/>
                      <w:szCs w:val="21"/>
                      <w:lang w:val="en-US" w:eastAsia="zh-CN"/>
                    </w:rPr>
                    <w:t>7</w:t>
                  </w:r>
                </w:p>
              </w:tc>
              <w:tc>
                <w:tcPr>
                  <w:tcW w:w="1514" w:type="pct"/>
                  <w:gridSpan w:val="3"/>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污水处理污泥</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27" w:type="pct"/>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100</w:t>
                  </w:r>
                </w:p>
              </w:tc>
              <w:tc>
                <w:tcPr>
                  <w:tcW w:w="1579" w:type="pct"/>
                  <w:vMerge w:val="restar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定期打捞后</w:t>
                  </w:r>
                  <w:r>
                    <w:rPr>
                      <w:rFonts w:hint="eastAsia" w:ascii="Times New Roman" w:hAnsi="Times New Roman" w:eastAsia="宋体"/>
                      <w:bCs/>
                      <w:color w:val="auto"/>
                      <w:sz w:val="21"/>
                      <w:szCs w:val="21"/>
                    </w:rPr>
                    <w:t>交由</w:t>
                  </w:r>
                  <w:r>
                    <w:rPr>
                      <w:rFonts w:hint="eastAsia" w:ascii="Times New Roman" w:hAnsi="Times New Roman" w:eastAsia="宋体"/>
                      <w:bCs/>
                      <w:color w:val="auto"/>
                      <w:sz w:val="21"/>
                      <w:szCs w:val="21"/>
                      <w:lang w:val="en-US" w:eastAsia="zh-CN"/>
                    </w:rPr>
                    <w:t>有资质公司</w:t>
                  </w:r>
                  <w:r>
                    <w:rPr>
                      <w:rFonts w:hint="eastAsia" w:ascii="Times New Roman" w:hAnsi="Times New Roman" w:eastAsia="宋体"/>
                      <w:bCs/>
                      <w:color w:val="auto"/>
                      <w:sz w:val="21"/>
                      <w:szCs w:val="21"/>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宋体"/>
                      <w:bCs/>
                      <w:color w:val="auto"/>
                      <w:spacing w:val="-2"/>
                      <w:kern w:val="0"/>
                      <w:sz w:val="21"/>
                      <w:szCs w:val="21"/>
                      <w:lang w:val="en-US" w:eastAsia="zh-CN" w:bidi="ar-SA"/>
                    </w:rPr>
                  </w:pPr>
                  <w:r>
                    <w:rPr>
                      <w:rFonts w:hint="eastAsia" w:ascii="Times New Roman" w:hAnsi="Times New Roman" w:eastAsia="宋体"/>
                      <w:bCs/>
                      <w:color w:val="auto"/>
                      <w:sz w:val="21"/>
                      <w:szCs w:val="21"/>
                      <w:lang w:val="en-US" w:eastAsia="zh-CN"/>
                    </w:rPr>
                    <w:t>8</w:t>
                  </w:r>
                </w:p>
              </w:tc>
              <w:tc>
                <w:tcPr>
                  <w:tcW w:w="1514" w:type="pct"/>
                  <w:gridSpan w:val="3"/>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隔油池污泥</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27" w:type="pct"/>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2.1</w:t>
                  </w:r>
                </w:p>
              </w:tc>
              <w:tc>
                <w:tcPr>
                  <w:tcW w:w="1579" w:type="pct"/>
                  <w:vMerge w:val="continue"/>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宋体"/>
                      <w:bCs/>
                      <w:color w:val="auto"/>
                      <w:spacing w:val="-2"/>
                      <w:kern w:val="0"/>
                      <w:sz w:val="21"/>
                      <w:szCs w:val="21"/>
                      <w:lang w:val="en-US" w:eastAsia="zh-CN" w:bidi="ar-SA"/>
                    </w:rPr>
                  </w:pPr>
                  <w:r>
                    <w:rPr>
                      <w:rFonts w:hint="eastAsia" w:ascii="Times New Roman" w:hAnsi="Times New Roman" w:eastAsia="宋体"/>
                      <w:bCs/>
                      <w:color w:val="auto"/>
                      <w:sz w:val="21"/>
                      <w:szCs w:val="21"/>
                      <w:lang w:val="en-US" w:eastAsia="zh-CN"/>
                    </w:rPr>
                    <w:t>9</w:t>
                  </w:r>
                </w:p>
              </w:tc>
              <w:tc>
                <w:tcPr>
                  <w:tcW w:w="1514" w:type="pct"/>
                  <w:gridSpan w:val="3"/>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预处理池污泥</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27" w:type="pct"/>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6.2</w:t>
                  </w:r>
                </w:p>
              </w:tc>
              <w:tc>
                <w:tcPr>
                  <w:tcW w:w="1579" w:type="pct"/>
                  <w:vMerge w:val="continue"/>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43" w:type="pct"/>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宋体"/>
                      <w:bCs/>
                      <w:color w:val="auto"/>
                      <w:spacing w:val="-2"/>
                      <w:kern w:val="0"/>
                      <w:sz w:val="21"/>
                      <w:szCs w:val="21"/>
                      <w:lang w:val="en-US" w:eastAsia="zh-CN" w:bidi="ar-SA"/>
                    </w:rPr>
                  </w:pPr>
                  <w:r>
                    <w:rPr>
                      <w:rFonts w:hint="eastAsia" w:ascii="Times New Roman" w:hAnsi="Times New Roman" w:eastAsia="宋体"/>
                      <w:bCs/>
                      <w:color w:val="auto"/>
                      <w:sz w:val="21"/>
                      <w:szCs w:val="21"/>
                      <w:lang w:val="en-US" w:eastAsia="zh-CN"/>
                    </w:rPr>
                    <w:t>10</w:t>
                  </w:r>
                </w:p>
              </w:tc>
              <w:tc>
                <w:tcPr>
                  <w:tcW w:w="756" w:type="pct"/>
                  <w:gridSpan w:val="2"/>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废过滤棉</w:t>
                  </w:r>
                </w:p>
              </w:tc>
              <w:tc>
                <w:tcPr>
                  <w:tcW w:w="758" w:type="pc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color w:val="auto"/>
                      <w:sz w:val="21"/>
                      <w:szCs w:val="21"/>
                    </w:rPr>
                  </w:pPr>
                  <w:r>
                    <w:rPr>
                      <w:rFonts w:ascii="Times New Roman" w:hAnsi="Times New Roman"/>
                      <w:color w:val="auto"/>
                      <w:sz w:val="21"/>
                      <w:szCs w:val="21"/>
                    </w:rPr>
                    <w:t>HW49</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hint="eastAsia" w:ascii="Times New Roman" w:hAnsi="Times New Roman" w:eastAsia="宋体"/>
                      <w:bCs/>
                      <w:color w:val="auto"/>
                      <w:sz w:val="21"/>
                      <w:szCs w:val="21"/>
                    </w:rPr>
                  </w:pPr>
                  <w:r>
                    <w:rPr>
                      <w:rFonts w:ascii="Times New Roman" w:hAnsi="Times New Roman" w:eastAsia="宋体"/>
                      <w:bCs/>
                      <w:color w:val="auto"/>
                      <w:sz w:val="21"/>
                      <w:szCs w:val="21"/>
                    </w:rPr>
                    <w:t>900-041-49</w:t>
                  </w:r>
                </w:p>
              </w:tc>
              <w:tc>
                <w:tcPr>
                  <w:tcW w:w="635" w:type="pct"/>
                  <w:vMerge w:val="restar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危险废物</w:t>
                  </w:r>
                </w:p>
              </w:tc>
              <w:tc>
                <w:tcPr>
                  <w:tcW w:w="827" w:type="pct"/>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sz w:val="21"/>
                      <w:szCs w:val="21"/>
                      <w:lang w:val="en-US" w:eastAsia="zh-CN"/>
                    </w:rPr>
                  </w:pPr>
                  <w:r>
                    <w:rPr>
                      <w:rFonts w:ascii="Times New Roman" w:hAnsi="Times New Roman" w:eastAsia="宋体"/>
                      <w:bCs/>
                      <w:color w:val="auto"/>
                      <w:sz w:val="21"/>
                      <w:szCs w:val="21"/>
                    </w:rPr>
                    <w:t>3</w:t>
                  </w:r>
                </w:p>
              </w:tc>
              <w:tc>
                <w:tcPr>
                  <w:tcW w:w="1579"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暂存于危废暂存间，交由有资质公司处置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43"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11</w:t>
                  </w:r>
                </w:p>
              </w:tc>
              <w:tc>
                <w:tcPr>
                  <w:tcW w:w="756" w:type="pct"/>
                  <w:gridSpan w:val="2"/>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宋体" w:cs="宋体"/>
                      <w:bCs/>
                      <w:color w:val="auto"/>
                      <w:spacing w:val="-2"/>
                      <w:kern w:val="0"/>
                      <w:sz w:val="21"/>
                      <w:szCs w:val="21"/>
                      <w:lang w:val="en-US" w:eastAsia="zh-CN" w:bidi="ar-SA"/>
                    </w:rPr>
                  </w:pPr>
                  <w:r>
                    <w:rPr>
                      <w:rFonts w:hint="eastAsia" w:ascii="宋体" w:hAnsi="宋体" w:eastAsia="宋体" w:cs="宋体"/>
                      <w:color w:val="auto"/>
                      <w:sz w:val="21"/>
                      <w:szCs w:val="21"/>
                    </w:rPr>
                    <w:t>清</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沉淀池</w:t>
                  </w:r>
                  <w:r>
                    <w:rPr>
                      <w:rFonts w:hint="eastAsia" w:ascii="Times New Roman" w:hAnsi="Times New Roman" w:eastAsia="宋体" w:cs="宋体"/>
                      <w:bCs/>
                      <w:color w:val="auto"/>
                      <w:sz w:val="21"/>
                      <w:szCs w:val="21"/>
                    </w:rPr>
                    <w:t>浮油</w:t>
                  </w:r>
                </w:p>
              </w:tc>
              <w:tc>
                <w:tcPr>
                  <w:tcW w:w="758" w:type="pc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color w:val="auto"/>
                      <w:sz w:val="21"/>
                      <w:szCs w:val="21"/>
                    </w:rPr>
                  </w:pPr>
                  <w:r>
                    <w:rPr>
                      <w:rFonts w:ascii="Times New Roman" w:hAnsi="Times New Roman"/>
                      <w:color w:val="auto"/>
                      <w:sz w:val="21"/>
                      <w:szCs w:val="21"/>
                    </w:rPr>
                    <w:t>HW08</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auto"/>
                    <w:rPr>
                      <w:rFonts w:hint="eastAsia" w:ascii="Times New Roman" w:hAnsi="Times New Roman" w:eastAsia="宋体" w:cs="宋体"/>
                      <w:bCs/>
                      <w:color w:val="auto"/>
                      <w:spacing w:val="-2"/>
                      <w:kern w:val="0"/>
                      <w:sz w:val="21"/>
                      <w:szCs w:val="21"/>
                      <w:lang w:val="en-US" w:eastAsia="zh-CN" w:bidi="ar-SA"/>
                    </w:rPr>
                  </w:pPr>
                  <w:r>
                    <w:rPr>
                      <w:rFonts w:ascii="Times New Roman" w:hAnsi="Times New Roman"/>
                      <w:color w:val="auto"/>
                      <w:sz w:val="21"/>
                      <w:szCs w:val="21"/>
                    </w:rPr>
                    <w:t>900-210-08</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27" w:type="pct"/>
                  <w:noWrap w:val="0"/>
                  <w:vAlign w:val="center"/>
                </w:tcPr>
                <w:p>
                  <w:pPr>
                    <w:pStyle w:val="28"/>
                    <w:spacing w:after="0" w:line="240" w:lineRule="auto"/>
                    <w:ind w:right="113" w:rightChars="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bCs/>
                      <w:color w:val="auto"/>
                      <w:sz w:val="21"/>
                      <w:szCs w:val="21"/>
                    </w:rPr>
                    <w:t>0.</w:t>
                  </w:r>
                  <w:r>
                    <w:rPr>
                      <w:rFonts w:hint="eastAsia" w:ascii="Times New Roman" w:hAnsi="Times New Roman" w:eastAsia="宋体"/>
                      <w:bCs/>
                      <w:color w:val="auto"/>
                      <w:sz w:val="21"/>
                      <w:szCs w:val="21"/>
                      <w:lang w:val="en-US" w:eastAsia="zh-CN"/>
                    </w:rPr>
                    <w:t>26</w:t>
                  </w:r>
                </w:p>
              </w:tc>
              <w:tc>
                <w:tcPr>
                  <w:tcW w:w="1579" w:type="pct"/>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宋体" w:cs="宋体"/>
                      <w:bCs/>
                      <w:color w:val="auto"/>
                      <w:spacing w:val="-2"/>
                      <w:kern w:val="0"/>
                      <w:sz w:val="21"/>
                      <w:szCs w:val="21"/>
                      <w:lang w:val="en-US" w:eastAsia="zh-CN" w:bidi="ar-SA"/>
                    </w:rPr>
                  </w:pPr>
                  <w:r>
                    <w:rPr>
                      <w:rFonts w:hint="eastAsia" w:ascii="Times New Roman" w:hAnsi="Times New Roman" w:eastAsia="宋体"/>
                      <w:bCs/>
                      <w:color w:val="auto"/>
                      <w:sz w:val="21"/>
                      <w:szCs w:val="21"/>
                    </w:rPr>
                    <w:t>定期打捞后妥善暂存于危废暂存间，定期交绵阳</w:t>
                  </w:r>
                  <w:r>
                    <w:rPr>
                      <w:rFonts w:hint="eastAsia" w:ascii="Times New Roman" w:hAnsi="Times New Roman" w:eastAsia="宋体"/>
                      <w:bCs/>
                      <w:color w:val="auto"/>
                      <w:sz w:val="21"/>
                      <w:szCs w:val="21"/>
                      <w:lang w:val="en-US" w:eastAsia="zh-CN"/>
                    </w:rPr>
                    <w:t>市</w:t>
                  </w:r>
                  <w:r>
                    <w:rPr>
                      <w:rFonts w:hint="eastAsia" w:ascii="Times New Roman" w:hAnsi="Times New Roman" w:eastAsia="宋体"/>
                      <w:bCs/>
                      <w:color w:val="auto"/>
                      <w:sz w:val="21"/>
                      <w:szCs w:val="21"/>
                    </w:rPr>
                    <w:t>天捷能源有限公司处置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12</w:t>
                  </w:r>
                </w:p>
              </w:tc>
              <w:tc>
                <w:tcPr>
                  <w:tcW w:w="755" w:type="pct"/>
                  <w:noWrap w:val="0"/>
                  <w:vAlign w:val="center"/>
                </w:tcPr>
                <w:p>
                  <w:pPr>
                    <w:pStyle w:val="75"/>
                    <w:spacing w:before="0" w:line="240" w:lineRule="auto"/>
                    <w:rPr>
                      <w:rFonts w:ascii="Times New Roman" w:hAnsi="Times New Roman" w:eastAsia="宋体"/>
                      <w:bCs/>
                      <w:color w:val="auto"/>
                      <w:sz w:val="21"/>
                      <w:szCs w:val="21"/>
                    </w:rPr>
                  </w:pPr>
                  <w:r>
                    <w:rPr>
                      <w:rFonts w:hint="eastAsia" w:ascii="Times New Roman" w:hAnsi="Times New Roman" w:eastAsia="宋体"/>
                      <w:color w:val="auto"/>
                      <w:sz w:val="21"/>
                      <w:szCs w:val="21"/>
                    </w:rPr>
                    <w:t>废UV灯管</w:t>
                  </w:r>
                </w:p>
              </w:tc>
              <w:tc>
                <w:tcPr>
                  <w:tcW w:w="7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color w:val="auto"/>
                      <w:sz w:val="21"/>
                      <w:szCs w:val="21"/>
                    </w:rPr>
                  </w:pPr>
                  <w:r>
                    <w:rPr>
                      <w:rFonts w:ascii="Times New Roman" w:hAnsi="Times New Roman"/>
                      <w:color w:val="auto"/>
                      <w:sz w:val="21"/>
                      <w:szCs w:val="21"/>
                    </w:rPr>
                    <w:t>HW49</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900-013-11</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27" w:type="pct"/>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eastAsia" w:ascii="Times New Roman" w:hAnsi="Times New Roman"/>
                      <w:color w:val="auto"/>
                      <w:sz w:val="21"/>
                      <w:szCs w:val="21"/>
                    </w:rPr>
                    <w:t>0.008</w:t>
                  </w:r>
                </w:p>
              </w:tc>
              <w:tc>
                <w:tcPr>
                  <w:tcW w:w="1579"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交由乐山高能时代环境技术有限公司处置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13</w:t>
                  </w:r>
                </w:p>
              </w:tc>
              <w:tc>
                <w:tcPr>
                  <w:tcW w:w="755" w:type="pct"/>
                  <w:noWrap w:val="0"/>
                  <w:vAlign w:val="center"/>
                </w:tcPr>
                <w:p>
                  <w:pPr>
                    <w:pStyle w:val="75"/>
                    <w:spacing w:before="0" w:line="240" w:lineRule="auto"/>
                    <w:rPr>
                      <w:rFonts w:hint="eastAsia" w:ascii="Times New Roman" w:hAnsi="Times New Roman" w:eastAsia="宋体"/>
                      <w:color w:val="auto"/>
                      <w:sz w:val="21"/>
                      <w:szCs w:val="21"/>
                    </w:rPr>
                  </w:pPr>
                  <w:r>
                    <w:rPr>
                      <w:rFonts w:hint="eastAsia" w:ascii="Times New Roman" w:hAnsi="Times New Roman" w:eastAsia="宋体"/>
                      <w:bCs/>
                      <w:color w:val="auto"/>
                      <w:sz w:val="21"/>
                      <w:szCs w:val="21"/>
                    </w:rPr>
                    <w:t>废油桶</w:t>
                  </w:r>
                </w:p>
              </w:tc>
              <w:tc>
                <w:tcPr>
                  <w:tcW w:w="7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color w:val="auto"/>
                      <w:sz w:val="21"/>
                      <w:szCs w:val="21"/>
                    </w:rPr>
                  </w:pPr>
                  <w:r>
                    <w:rPr>
                      <w:rFonts w:ascii="Times New Roman" w:hAnsi="Times New Roman"/>
                      <w:color w:val="auto"/>
                      <w:sz w:val="21"/>
                      <w:szCs w:val="21"/>
                    </w:rPr>
                    <w:t>HW49</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eastAsia="宋体"/>
                      <w:bCs/>
                      <w:color w:val="auto"/>
                      <w:sz w:val="21"/>
                      <w:szCs w:val="21"/>
                    </w:rPr>
                  </w:pPr>
                  <w:r>
                    <w:rPr>
                      <w:rFonts w:ascii="Times New Roman" w:hAnsi="Times New Roman" w:eastAsia="宋体"/>
                      <w:bCs/>
                      <w:color w:val="auto"/>
                      <w:sz w:val="21"/>
                      <w:szCs w:val="21"/>
                    </w:rPr>
                    <w:t>900-041-49</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p>
              </w:tc>
              <w:tc>
                <w:tcPr>
                  <w:tcW w:w="827" w:type="pct"/>
                  <w:noWrap w:val="0"/>
                  <w:vAlign w:val="center"/>
                </w:tcPr>
                <w:p>
                  <w:pPr>
                    <w:pStyle w:val="28"/>
                    <w:spacing w:after="0" w:line="240" w:lineRule="auto"/>
                    <w:ind w:right="113"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0.3</w:t>
                  </w:r>
                </w:p>
              </w:tc>
              <w:tc>
                <w:tcPr>
                  <w:tcW w:w="1579" w:type="pct"/>
                  <w:noWrap w:val="0"/>
                  <w:vAlign w:val="center"/>
                </w:tcPr>
                <w:p>
                  <w:pPr>
                    <w:pStyle w:val="2"/>
                    <w:adjustRightInd/>
                    <w:spacing w:before="0" w:line="240" w:lineRule="auto"/>
                    <w:ind w:left="0" w:right="0" w:firstLine="0"/>
                    <w:jc w:val="center"/>
                    <w:textAlignment w:val="auto"/>
                    <w:rPr>
                      <w:rFonts w:hint="eastAsia" w:ascii="Times New Roman" w:hAnsi="Times New Roman" w:eastAsia="宋体"/>
                      <w:bCs/>
                      <w:color w:val="auto"/>
                      <w:sz w:val="21"/>
                      <w:szCs w:val="21"/>
                    </w:rPr>
                  </w:pPr>
                  <w:r>
                    <w:rPr>
                      <w:rFonts w:hint="eastAsia" w:ascii="Times New Roman" w:hAnsi="Times New Roman" w:eastAsia="宋体"/>
                      <w:bCs/>
                      <w:color w:val="auto"/>
                      <w:sz w:val="21"/>
                      <w:szCs w:val="21"/>
                    </w:rPr>
                    <w:t>收集后暂存于危废暂存间定期交绵阳</w:t>
                  </w:r>
                  <w:r>
                    <w:rPr>
                      <w:rFonts w:hint="eastAsia" w:ascii="Times New Roman" w:hAnsi="Times New Roman" w:eastAsia="宋体"/>
                      <w:bCs/>
                      <w:color w:val="auto"/>
                      <w:sz w:val="21"/>
                      <w:szCs w:val="21"/>
                      <w:lang w:val="en-US" w:eastAsia="zh-CN"/>
                    </w:rPr>
                    <w:t>市</w:t>
                  </w:r>
                  <w:r>
                    <w:rPr>
                      <w:rFonts w:hint="eastAsia" w:ascii="Times New Roman" w:hAnsi="Times New Roman" w:eastAsia="宋体"/>
                      <w:bCs/>
                      <w:color w:val="auto"/>
                      <w:sz w:val="21"/>
                      <w:szCs w:val="21"/>
                    </w:rPr>
                    <w:t>天捷能源有限公司处置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14</w:t>
                  </w:r>
                </w:p>
              </w:tc>
              <w:tc>
                <w:tcPr>
                  <w:tcW w:w="755" w:type="pct"/>
                  <w:noWrap w:val="0"/>
                  <w:vAlign w:val="center"/>
                </w:tcPr>
                <w:p>
                  <w:pPr>
                    <w:pStyle w:val="75"/>
                    <w:spacing w:before="0" w:line="240" w:lineRule="auto"/>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rPr>
                    <w:t>废活性炭</w:t>
                  </w:r>
                </w:p>
              </w:tc>
              <w:tc>
                <w:tcPr>
                  <w:tcW w:w="75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HW</w:t>
                  </w:r>
                  <w:r>
                    <w:rPr>
                      <w:rFonts w:hint="eastAsia" w:ascii="Times New Roman" w:hAnsi="Times New Roman"/>
                      <w:color w:val="auto"/>
                      <w:sz w:val="21"/>
                      <w:szCs w:val="21"/>
                      <w:highlight w:val="none"/>
                      <w:lang w:val="en-US" w:eastAsia="zh-CN"/>
                    </w:rPr>
                    <w:t>2</w:t>
                  </w:r>
                  <w:r>
                    <w:rPr>
                      <w:rFonts w:ascii="Times New Roman" w:hAnsi="Times New Roman"/>
                      <w:color w:val="auto"/>
                      <w:sz w:val="21"/>
                      <w:szCs w:val="21"/>
                      <w:highlight w:val="none"/>
                    </w:rPr>
                    <w:t>9</w:t>
                  </w:r>
                </w:p>
                <w:p>
                  <w:pPr>
                    <w:pStyle w:val="2"/>
                    <w:keepNext w:val="0"/>
                    <w:keepLines w:val="0"/>
                    <w:pageBreakBefore w:val="0"/>
                    <w:widowControl w:val="0"/>
                    <w:kinsoku/>
                    <w:wordWrap/>
                    <w:overflowPunct/>
                    <w:topLinePunct w:val="0"/>
                    <w:autoSpaceDE/>
                    <w:autoSpaceDN/>
                    <w:bidi w:val="0"/>
                    <w:adjustRightInd/>
                    <w:snapToGrid/>
                    <w:spacing w:before="0" w:after="0" w:afterAutospacing="0" w:line="240" w:lineRule="auto"/>
                    <w:ind w:left="0" w:right="0" w:firstLine="0"/>
                    <w:jc w:val="center"/>
                    <w:textAlignment w:val="auto"/>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900-013-11</w:t>
                  </w:r>
                </w:p>
              </w:tc>
              <w:tc>
                <w:tcPr>
                  <w:tcW w:w="635" w:type="pct"/>
                  <w:vMerge w:val="continue"/>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highlight w:val="none"/>
                    </w:rPr>
                  </w:pPr>
                </w:p>
              </w:tc>
              <w:tc>
                <w:tcPr>
                  <w:tcW w:w="827" w:type="pct"/>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7.72</w:t>
                  </w:r>
                </w:p>
              </w:tc>
              <w:tc>
                <w:tcPr>
                  <w:tcW w:w="1579" w:type="pct"/>
                  <w:noWrap w:val="0"/>
                  <w:vAlign w:val="center"/>
                </w:tcPr>
                <w:p>
                  <w:pPr>
                    <w:pStyle w:val="2"/>
                    <w:adjustRightInd/>
                    <w:spacing w:before="0" w:line="240" w:lineRule="auto"/>
                    <w:ind w:left="0" w:right="0" w:firstLine="0"/>
                    <w:jc w:val="center"/>
                    <w:textAlignment w:val="auto"/>
                    <w:rPr>
                      <w:rFonts w:ascii="Times New Roman" w:hAnsi="Times New Roman" w:eastAsia="宋体"/>
                      <w:bCs/>
                      <w:color w:val="auto"/>
                      <w:sz w:val="21"/>
                      <w:szCs w:val="21"/>
                    </w:rPr>
                  </w:pPr>
                  <w:r>
                    <w:rPr>
                      <w:rFonts w:hint="eastAsia" w:ascii="Times New Roman" w:hAnsi="Times New Roman" w:eastAsia="宋体"/>
                      <w:bCs/>
                      <w:color w:val="auto"/>
                      <w:sz w:val="21"/>
                      <w:szCs w:val="21"/>
                    </w:rPr>
                    <w:t>收集后暂存于危废暂存间定期交珙县华洁危险废物治理有限公司处置</w:t>
                  </w:r>
                </w:p>
              </w:tc>
            </w:tr>
          </w:tbl>
          <w:p>
            <w:pPr>
              <w:pStyle w:val="10"/>
              <w:spacing w:before="0" w:after="0" w:line="360" w:lineRule="auto"/>
              <w:ind w:right="0" w:firstLine="480" w:firstLineChars="200"/>
              <w:rPr>
                <w:color w:val="auto"/>
                <w:sz w:val="24"/>
                <w:szCs w:val="24"/>
              </w:rPr>
            </w:pPr>
            <w:r>
              <w:rPr>
                <w:color w:val="auto"/>
                <w:sz w:val="24"/>
                <w:szCs w:val="24"/>
              </w:rPr>
              <w:t>现有厂区已设置一间危废暂存间，建筑面积约为</w:t>
            </w:r>
            <w:r>
              <w:rPr>
                <w:rFonts w:hint="eastAsia"/>
                <w:color w:val="auto"/>
                <w:sz w:val="24"/>
                <w:szCs w:val="24"/>
                <w:lang w:val="en-US" w:eastAsia="zh-CN"/>
              </w:rPr>
              <w:t>2</w:t>
            </w:r>
            <w:r>
              <w:rPr>
                <w:color w:val="auto"/>
                <w:sz w:val="24"/>
                <w:szCs w:val="24"/>
              </w:rPr>
              <w:t>0m</w:t>
            </w:r>
            <w:r>
              <w:rPr>
                <w:color w:val="auto"/>
                <w:sz w:val="24"/>
                <w:szCs w:val="24"/>
                <w:vertAlign w:val="superscript"/>
              </w:rPr>
              <w:t>2</w:t>
            </w:r>
            <w:r>
              <w:rPr>
                <w:color w:val="auto"/>
                <w:sz w:val="24"/>
                <w:szCs w:val="24"/>
              </w:rPr>
              <w:t>，本项目产生危废依托现有的危废暂存间进行暂存，根据《建设项目危险废物环境影响评价指南》对危险废物贮存场所基本情况，详见下表：</w:t>
            </w:r>
          </w:p>
          <w:p>
            <w:pPr>
              <w:numPr>
                <w:ilvl w:val="0"/>
                <w:numId w:val="0"/>
              </w:numPr>
              <w:spacing w:line="360" w:lineRule="auto"/>
              <w:ind w:left="630" w:leftChars="0"/>
              <w:rPr>
                <w:rFonts w:hint="eastAsia"/>
                <w:b/>
                <w:bCs/>
                <w:color w:val="auto"/>
                <w:sz w:val="24"/>
                <w:szCs w:val="24"/>
              </w:rPr>
            </w:pPr>
            <w:r>
              <w:rPr>
                <w:rFonts w:hint="eastAsia" w:ascii="Times New Roman" w:hAnsi="Times New Roman" w:eastAsia="宋体" w:cs="Times New Roman"/>
                <w:b/>
                <w:bCs/>
                <w:color w:val="auto"/>
                <w:kern w:val="2"/>
                <w:sz w:val="24"/>
                <w:szCs w:val="24"/>
                <w:lang w:val="en-US" w:eastAsia="zh-CN" w:bidi="zh-CN"/>
              </w:rPr>
              <w:t>（2）</w:t>
            </w:r>
            <w:r>
              <w:rPr>
                <w:rFonts w:hint="default" w:ascii="Times New Roman" w:hAnsi="Times New Roman" w:eastAsia="宋体" w:cs="Times New Roman"/>
                <w:b/>
                <w:bCs/>
                <w:color w:val="auto"/>
                <w:kern w:val="2"/>
                <w:sz w:val="24"/>
                <w:szCs w:val="24"/>
                <w:lang w:val="en-US" w:eastAsia="zh-CN" w:bidi="zh-CN"/>
              </w:rPr>
              <w:t>依托可行性分析</w:t>
            </w:r>
          </w:p>
          <w:p>
            <w:pPr>
              <w:adjustRightInd w:val="0"/>
              <w:snapToGrid w:val="0"/>
              <w:spacing w:line="360" w:lineRule="auto"/>
              <w:ind w:firstLine="480"/>
              <w:rPr>
                <w:rFonts w:hint="default" w:ascii="Times New Roman" w:hAnsi="Times New Roman" w:eastAsia="宋体" w:cs="Times New Roman"/>
                <w:color w:val="auto"/>
                <w:kern w:val="2"/>
                <w:sz w:val="24"/>
                <w:szCs w:val="24"/>
                <w:lang w:val="en-US" w:eastAsia="zh-CN" w:bidi="zh-CN"/>
              </w:rPr>
            </w:pPr>
            <w:r>
              <w:rPr>
                <w:rFonts w:hint="default" w:ascii="Times New Roman" w:hAnsi="Times New Roman" w:eastAsia="宋体" w:cs="Times New Roman"/>
                <w:color w:val="auto"/>
                <w:kern w:val="2"/>
                <w:sz w:val="24"/>
                <w:szCs w:val="24"/>
                <w:lang w:val="en-US" w:eastAsia="zh-CN" w:bidi="zh-CN"/>
              </w:rPr>
              <w:t>根据现场调查可知，厂区现有一般固废暂存间、危废暂存间满足环保要求。</w:t>
            </w:r>
            <w:r>
              <w:rPr>
                <w:rFonts w:hint="default" w:ascii="Times New Roman" w:hAnsi="Times New Roman" w:eastAsia="宋体" w:cs="Times New Roman"/>
                <w:color w:val="auto"/>
                <w:kern w:val="2"/>
                <w:sz w:val="24"/>
                <w:szCs w:val="24"/>
                <w:lang w:val="zh-CN" w:eastAsia="zh-CN" w:bidi="zh-CN"/>
              </w:rPr>
              <w:t>一般工业固体废物管理</w:t>
            </w:r>
            <w:r>
              <w:rPr>
                <w:rFonts w:hint="default" w:ascii="Times New Roman" w:hAnsi="Times New Roman" w:eastAsia="宋体" w:cs="Times New Roman"/>
                <w:color w:val="auto"/>
                <w:kern w:val="2"/>
                <w:sz w:val="24"/>
                <w:szCs w:val="24"/>
                <w:lang w:val="en-US" w:eastAsia="zh-CN" w:bidi="zh-CN"/>
              </w:rPr>
              <w:t>满足</w:t>
            </w:r>
            <w:r>
              <w:rPr>
                <w:rFonts w:hint="default" w:ascii="Times New Roman" w:hAnsi="Times New Roman" w:eastAsia="宋体" w:cs="Times New Roman"/>
                <w:color w:val="auto"/>
                <w:kern w:val="2"/>
                <w:sz w:val="24"/>
                <w:szCs w:val="24"/>
                <w:lang w:val="zh-CN" w:eastAsia="zh-CN" w:bidi="zh-CN"/>
              </w:rPr>
              <w:t>《一般工业固体废物贮存和填埋污染控制标准》（GB18599-2020）中相关要求，危险废物管理</w:t>
            </w:r>
            <w:r>
              <w:rPr>
                <w:rFonts w:hint="default" w:ascii="Times New Roman" w:hAnsi="Times New Roman" w:eastAsia="宋体" w:cs="Times New Roman"/>
                <w:color w:val="auto"/>
                <w:kern w:val="2"/>
                <w:sz w:val="24"/>
                <w:szCs w:val="24"/>
                <w:lang w:val="en-US" w:eastAsia="zh-CN" w:bidi="zh-CN"/>
              </w:rPr>
              <w:t>满足</w:t>
            </w:r>
            <w:r>
              <w:rPr>
                <w:rFonts w:hint="default" w:ascii="Times New Roman" w:hAnsi="Times New Roman" w:eastAsia="宋体" w:cs="Times New Roman"/>
                <w:color w:val="auto"/>
                <w:kern w:val="2"/>
                <w:sz w:val="24"/>
                <w:szCs w:val="24"/>
                <w:lang w:val="zh-CN" w:eastAsia="zh-CN" w:bidi="zh-CN"/>
              </w:rPr>
              <w:t>《危险废物贮存污染控制标准》（GB18597-2001）及其修改单（环保部公告 2013 年第 36 号）中相关要求。</w:t>
            </w:r>
            <w:r>
              <w:rPr>
                <w:color w:val="auto"/>
                <w:sz w:val="24"/>
                <w:szCs w:val="24"/>
              </w:rPr>
              <w:t>一</w:t>
            </w:r>
            <w:r>
              <w:rPr>
                <w:rFonts w:hint="eastAsia"/>
                <w:color w:val="auto"/>
                <w:sz w:val="24"/>
                <w:szCs w:val="24"/>
                <w:lang w:eastAsia="zh-CN"/>
              </w:rPr>
              <w:t>项目固废</w:t>
            </w:r>
            <w:r>
              <w:rPr>
                <w:color w:val="auto"/>
                <w:sz w:val="24"/>
                <w:szCs w:val="24"/>
              </w:rPr>
              <w:t>依托</w:t>
            </w:r>
            <w:r>
              <w:rPr>
                <w:rFonts w:hint="eastAsia"/>
                <w:color w:val="auto"/>
                <w:sz w:val="24"/>
                <w:szCs w:val="24"/>
                <w:lang w:eastAsia="zh-CN"/>
              </w:rPr>
              <w:t>现有</w:t>
            </w:r>
            <w:r>
              <w:rPr>
                <w:color w:val="auto"/>
                <w:sz w:val="24"/>
                <w:szCs w:val="24"/>
              </w:rPr>
              <w:t>一般固废暂存间（5m</w:t>
            </w:r>
            <w:r>
              <w:rPr>
                <w:color w:val="auto"/>
                <w:sz w:val="24"/>
                <w:szCs w:val="24"/>
                <w:vertAlign w:val="superscript"/>
              </w:rPr>
              <w:t>3</w:t>
            </w:r>
            <w:r>
              <w:rPr>
                <w:color w:val="auto"/>
                <w:sz w:val="24"/>
                <w:szCs w:val="24"/>
              </w:rPr>
              <w:t>）、危废暂存间（</w:t>
            </w:r>
            <w:r>
              <w:rPr>
                <w:rFonts w:hint="eastAsia"/>
                <w:color w:val="auto"/>
                <w:sz w:val="24"/>
                <w:szCs w:val="24"/>
                <w:lang w:val="en-US" w:eastAsia="zh-CN"/>
              </w:rPr>
              <w:t>20</w:t>
            </w:r>
            <w:r>
              <w:rPr>
                <w:color w:val="auto"/>
                <w:sz w:val="24"/>
                <w:szCs w:val="24"/>
              </w:rPr>
              <w:t>m</w:t>
            </w:r>
            <w:r>
              <w:rPr>
                <w:color w:val="auto"/>
                <w:sz w:val="24"/>
                <w:szCs w:val="24"/>
                <w:vertAlign w:val="superscript"/>
              </w:rPr>
              <w:t>3</w:t>
            </w:r>
            <w:r>
              <w:rPr>
                <w:color w:val="auto"/>
                <w:sz w:val="24"/>
                <w:szCs w:val="24"/>
              </w:rPr>
              <w:t>）</w:t>
            </w:r>
            <w:r>
              <w:rPr>
                <w:rFonts w:hint="default" w:ascii="Times New Roman" w:hAnsi="Times New Roman" w:eastAsia="宋体" w:cs="Times New Roman"/>
                <w:color w:val="auto"/>
                <w:kern w:val="2"/>
                <w:sz w:val="24"/>
                <w:szCs w:val="24"/>
                <w:lang w:val="en-US" w:eastAsia="zh-CN" w:bidi="zh-CN"/>
              </w:rPr>
              <w:t>是可行的。</w:t>
            </w:r>
          </w:p>
          <w:p>
            <w:pPr>
              <w:pStyle w:val="10"/>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2"/>
                <w:sz w:val="24"/>
                <w:szCs w:val="24"/>
                <w:lang w:val="zh-CN" w:eastAsia="zh-CN" w:bidi="zh-CN"/>
              </w:rPr>
              <w:t>综上所述，项目各类固体废弃物处理措施可行，去向明确，不会造成二次污染</w:t>
            </w:r>
            <w:r>
              <w:rPr>
                <w:rFonts w:hint="default" w:ascii="Times New Roman" w:hAnsi="Times New Roman" w:cs="Times New Roman"/>
                <w:color w:val="auto"/>
                <w:sz w:val="24"/>
                <w:szCs w:val="24"/>
              </w:rPr>
              <w:t>。</w:t>
            </w:r>
          </w:p>
          <w:p>
            <w:pPr>
              <w:pStyle w:val="95"/>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auto"/>
                <w:sz w:val="24"/>
                <w:szCs w:val="32"/>
              </w:rPr>
            </w:pPr>
            <w:r>
              <w:rPr>
                <w:rFonts w:hint="default" w:ascii="Times New Roman" w:hAnsi="Times New Roman" w:cs="Times New Roman"/>
                <w:b/>
                <w:bCs w:val="0"/>
                <w:color w:val="auto"/>
                <w:sz w:val="24"/>
                <w:szCs w:val="24"/>
              </w:rPr>
              <w:t>5、</w:t>
            </w:r>
            <w:r>
              <w:rPr>
                <w:rFonts w:hint="default" w:ascii="Times New Roman" w:hAnsi="Times New Roman" w:eastAsia="宋体" w:cs="Times New Roman"/>
                <w:b/>
                <w:bCs w:val="0"/>
                <w:color w:val="auto"/>
                <w:sz w:val="24"/>
                <w:szCs w:val="32"/>
                <w:lang w:val="en-US" w:eastAsia="zh-CN"/>
              </w:rPr>
              <w:t>技</w:t>
            </w:r>
            <w:r>
              <w:rPr>
                <w:rFonts w:hint="default" w:ascii="Times New Roman" w:hAnsi="Times New Roman" w:eastAsia="宋体" w:cs="Times New Roman"/>
                <w:color w:val="auto"/>
                <w:sz w:val="24"/>
                <w:szCs w:val="32"/>
                <w:lang w:val="en-US" w:eastAsia="zh-CN"/>
              </w:rPr>
              <w:t>改后全厂</w:t>
            </w:r>
            <w:r>
              <w:rPr>
                <w:rFonts w:hint="default" w:ascii="Times New Roman" w:hAnsi="Times New Roman" w:eastAsia="宋体" w:cs="Times New Roman"/>
                <w:color w:val="auto"/>
                <w:sz w:val="24"/>
                <w:szCs w:val="32"/>
              </w:rPr>
              <w:t>污染物排放量汇总</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eastAsia" w:ascii="Times New Roman" w:hAnsi="Times New Roman" w:cs="Times New Roman"/>
                <w:b/>
                <w:color w:val="auto"/>
                <w:szCs w:val="21"/>
                <w:lang w:val="en-US" w:eastAsia="zh-CN"/>
              </w:rPr>
              <w:t>4</w:t>
            </w:r>
            <w:r>
              <w:rPr>
                <w:rFonts w:hint="default" w:ascii="Times New Roman" w:hAnsi="Times New Roman" w:cs="Times New Roman"/>
                <w:b/>
                <w:color w:val="auto"/>
                <w:szCs w:val="21"/>
                <w:lang w:val="en-US" w:eastAsia="zh-CN"/>
              </w:rPr>
              <w:t>-</w:t>
            </w:r>
            <w:r>
              <w:rPr>
                <w:rFonts w:hint="eastAsia" w:ascii="Times New Roman" w:hAnsi="Times New Roman" w:cs="Times New Roman"/>
                <w:b/>
                <w:color w:val="auto"/>
                <w:szCs w:val="21"/>
                <w:lang w:val="en-US" w:eastAsia="zh-CN"/>
              </w:rPr>
              <w:t>9</w:t>
            </w:r>
            <w:r>
              <w:rPr>
                <w:rFonts w:hint="default" w:ascii="Times New Roman" w:hAnsi="Times New Roman" w:cs="Times New Roman"/>
                <w:b/>
                <w:color w:val="auto"/>
                <w:szCs w:val="21"/>
              </w:rPr>
              <w:t xml:space="preserve"> </w:t>
            </w:r>
            <w:r>
              <w:rPr>
                <w:rFonts w:hint="eastAsia" w:ascii="Times New Roman" w:hAnsi="Times New Roman" w:cs="Times New Roman"/>
                <w:b/>
                <w:color w:val="auto"/>
                <w:szCs w:val="21"/>
                <w:lang w:val="en-US" w:eastAsia="zh-CN"/>
              </w:rPr>
              <w:t>技改后全厂</w:t>
            </w:r>
            <w:r>
              <w:rPr>
                <w:rFonts w:hint="default" w:ascii="Times New Roman" w:hAnsi="Times New Roman" w:cs="Times New Roman"/>
                <w:b/>
                <w:color w:val="auto"/>
                <w:szCs w:val="21"/>
              </w:rPr>
              <w:t>污染物排放量一览表</w:t>
            </w:r>
          </w:p>
          <w:tbl>
            <w:tblPr>
              <w:tblStyle w:val="30"/>
              <w:tblW w:w="498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56"/>
              <w:gridCol w:w="3183"/>
              <w:gridCol w:w="2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tcBorders>
                    <w:tl2br w:val="nil"/>
                    <w:tr2bl w:val="nil"/>
                  </w:tcBorders>
                  <w:shd w:val="clear" w:color="auto" w:fill="DCE6F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污染类别</w:t>
                  </w:r>
                </w:p>
              </w:tc>
              <w:tc>
                <w:tcPr>
                  <w:tcW w:w="1858" w:type="pct"/>
                  <w:tcBorders>
                    <w:tl2br w:val="nil"/>
                    <w:tr2bl w:val="nil"/>
                  </w:tcBorders>
                  <w:shd w:val="clear" w:color="auto" w:fill="DCE6F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1590" w:type="pct"/>
                  <w:tcBorders>
                    <w:tl2br w:val="nil"/>
                    <w:tr2bl w:val="nil"/>
                  </w:tcBorders>
                  <w:shd w:val="clear" w:color="auto" w:fill="DCE6F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restar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生活</w:t>
                  </w:r>
                  <w:r>
                    <w:rPr>
                      <w:rFonts w:hint="default" w:ascii="Times New Roman" w:hAnsi="Times New Roman" w:cs="Times New Roman"/>
                      <w:color w:val="auto"/>
                      <w:sz w:val="21"/>
                      <w:szCs w:val="21"/>
                      <w:highlight w:val="none"/>
                    </w:rPr>
                    <w:t>废水</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w:t>
                  </w:r>
                  <w:r>
                    <w:rPr>
                      <w:rFonts w:hint="eastAsia" w:cs="Times New Roman"/>
                      <w:color w:val="auto"/>
                      <w:kern w:val="0"/>
                      <w:sz w:val="21"/>
                      <w:szCs w:val="21"/>
                      <w:highlight w:val="none"/>
                      <w:lang w:val="en-US" w:eastAsia="zh-CN"/>
                    </w:rPr>
                    <w:t>1440</w:t>
                  </w:r>
                  <w:r>
                    <w:rPr>
                      <w:rFonts w:hint="default" w:ascii="Times New Roman" w:hAnsi="Times New Roman" w:cs="Times New Roman"/>
                      <w:color w:val="auto"/>
                      <w:sz w:val="21"/>
                      <w:szCs w:val="21"/>
                      <w:highlight w:val="none"/>
                    </w:rPr>
                    <w:t>t/</w:t>
                  </w:r>
                  <w:r>
                    <w:rPr>
                      <w:rFonts w:hint="default" w:ascii="Times New Roman" w:hAnsi="Times New Roman" w:cs="Times New Roman"/>
                      <w:color w:val="auto"/>
                      <w:sz w:val="21"/>
                      <w:szCs w:val="21"/>
                      <w:highlight w:val="none"/>
                      <w:lang w:val="en-US" w:eastAsia="zh-CN"/>
                    </w:rPr>
                    <w:t>a</w:t>
                  </w:r>
                  <w:r>
                    <w:rPr>
                      <w:rFonts w:hint="default" w:ascii="Times New Roman" w:hAnsi="Times New Roman" w:cs="Times New Roman"/>
                      <w:color w:val="auto"/>
                      <w:sz w:val="21"/>
                      <w:szCs w:val="21"/>
                      <w:highlight w:val="none"/>
                    </w:rPr>
                    <w:t>）</w:t>
                  </w:r>
                </w:p>
              </w:tc>
              <w:tc>
                <w:tcPr>
                  <w:tcW w:w="185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CODcr</w:t>
                  </w:r>
                </w:p>
              </w:tc>
              <w:tc>
                <w:tcPr>
                  <w:tcW w:w="1590" w:type="pct"/>
                  <w:tcBorders>
                    <w:tl2br w:val="nil"/>
                    <w:tr2bl w:val="nil"/>
                  </w:tcBorders>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bCs/>
                      <w:color w:val="auto"/>
                      <w:sz w:val="21"/>
                      <w:szCs w:val="21"/>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氨氮</w:t>
                  </w:r>
                </w:p>
              </w:tc>
              <w:tc>
                <w:tcPr>
                  <w:tcW w:w="1590" w:type="pct"/>
                  <w:tcBorders>
                    <w:tl2br w:val="nil"/>
                    <w:tr2bl w:val="nil"/>
                  </w:tcBorders>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ascii="Times New Roman" w:hAnsi="Times New Roman" w:eastAsia="宋体" w:cs="Times New Roman"/>
                      <w:bCs/>
                      <w:color w:val="auto"/>
                      <w:sz w:val="21"/>
                      <w:szCs w:val="21"/>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工艺废气</w:t>
                  </w:r>
                </w:p>
              </w:tc>
              <w:tc>
                <w:tcPr>
                  <w:tcW w:w="1858" w:type="pct"/>
                  <w:tcBorders>
                    <w:tl2br w:val="nil"/>
                    <w:tr2bl w:val="nil"/>
                  </w:tcBorders>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颗粒物</w:t>
                  </w:r>
                </w:p>
              </w:tc>
              <w:tc>
                <w:tcPr>
                  <w:tcW w:w="1590" w:type="pct"/>
                  <w:tcBorders>
                    <w:tl2br w:val="nil"/>
                    <w:tr2bl w:val="nil"/>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0.107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noWrap w:val="0"/>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VOCs</w:t>
                  </w:r>
                </w:p>
              </w:tc>
              <w:tc>
                <w:tcPr>
                  <w:tcW w:w="1590" w:type="pct"/>
                  <w:tcBorders>
                    <w:tl2br w:val="nil"/>
                    <w:tr2bl w:val="nil"/>
                  </w:tcBorders>
                  <w:noWrap w:val="0"/>
                  <w:vAlign w:val="center"/>
                </w:tcPr>
                <w:p>
                  <w:pPr>
                    <w:widowControl/>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sz w:val="21"/>
                      <w:szCs w:val="21"/>
                      <w:highlight w:val="none"/>
                      <w:lang w:val="en-US" w:eastAsia="zh-CN"/>
                    </w:rPr>
                    <w:t>0.621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一般</w:t>
                  </w:r>
                  <w:r>
                    <w:rPr>
                      <w:rFonts w:hint="default" w:ascii="Times New Roman" w:hAnsi="Times New Roman" w:cs="Times New Roman"/>
                      <w:color w:val="auto"/>
                      <w:sz w:val="21"/>
                      <w:szCs w:val="21"/>
                      <w:lang w:val="en-US" w:eastAsia="zh-CN"/>
                    </w:rPr>
                    <w:t>固废</w:t>
                  </w: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清洗</w:t>
                  </w:r>
                  <w:r>
                    <w:rPr>
                      <w:rFonts w:hint="eastAsia" w:ascii="Times New Roman" w:hAnsi="Times New Roman"/>
                      <w:color w:val="auto"/>
                      <w:sz w:val="21"/>
                      <w:szCs w:val="21"/>
                      <w:lang w:val="en-US" w:eastAsia="zh-CN"/>
                    </w:rPr>
                    <w:t>沉淀池</w:t>
                  </w:r>
                  <w:r>
                    <w:rPr>
                      <w:rFonts w:hint="eastAsia" w:ascii="Times New Roman" w:hAnsi="Times New Roman"/>
                      <w:color w:val="auto"/>
                      <w:sz w:val="21"/>
                      <w:szCs w:val="21"/>
                    </w:rPr>
                    <w:t>产生</w:t>
                  </w:r>
                  <w:r>
                    <w:rPr>
                      <w:rFonts w:hint="eastAsia" w:ascii="Times New Roman" w:hAnsi="Times New Roman"/>
                      <w:color w:val="auto"/>
                      <w:sz w:val="21"/>
                      <w:szCs w:val="21"/>
                      <w:lang w:val="en-US" w:eastAsia="zh-CN"/>
                    </w:rPr>
                    <w:t>污泥</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bCs/>
                      <w:color w:val="auto"/>
                      <w:sz w:val="21"/>
                      <w:szCs w:val="21"/>
                    </w:rPr>
                    <w:t>1</w:t>
                  </w:r>
                  <w:r>
                    <w:rPr>
                      <w:rFonts w:hint="eastAsia" w:ascii="Times New Roman" w:hAnsi="Times New Roman" w:eastAsia="宋体"/>
                      <w:bCs/>
                      <w:color w:val="auto"/>
                      <w:sz w:val="21"/>
                      <w:szCs w:val="21"/>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废包装材料</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0.</w:t>
                  </w:r>
                  <w:r>
                    <w:rPr>
                      <w:rFonts w:hint="eastAsia" w:ascii="Times New Roman" w:hAnsi="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次品丝</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ascii="Times New Roman" w:hAnsi="Times New Roman" w:eastAsia="宋体"/>
                      <w:bCs/>
                      <w:color w:val="auto"/>
                      <w:sz w:val="21"/>
                      <w:szCs w:val="21"/>
                    </w:rPr>
                    <w:t>生活垃圾</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highlight w:val="none"/>
                      <w:lang w:val="en-US"/>
                    </w:rPr>
                  </w:pPr>
                  <w:r>
                    <w:rPr>
                      <w:rFonts w:hint="eastAsia"/>
                      <w:color w:val="auto"/>
                      <w:sz w:val="21"/>
                      <w:szCs w:val="21"/>
                      <w:highlight w:val="none"/>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ascii="Times New Roman" w:hAnsi="Times New Roman" w:eastAsia="宋体"/>
                      <w:bCs/>
                      <w:color w:val="auto"/>
                      <w:sz w:val="21"/>
                      <w:szCs w:val="21"/>
                    </w:rPr>
                    <w:t>废过滤棉</w:t>
                  </w:r>
                </w:p>
              </w:tc>
              <w:tc>
                <w:tcPr>
                  <w:tcW w:w="1590" w:type="pct"/>
                  <w:tcBorders>
                    <w:tl2br w:val="nil"/>
                    <w:tr2bl w:val="nil"/>
                  </w:tcBorders>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ascii="Times New Roman" w:hAnsi="Times New Roman" w:eastAsia="宋体"/>
                      <w:bCs/>
                      <w:color w:val="auto"/>
                      <w:sz w:val="21"/>
                      <w:szCs w:val="21"/>
                    </w:rPr>
                    <w:t>1410m</w:t>
                  </w:r>
                  <w:r>
                    <w:rPr>
                      <w:rFonts w:ascii="Times New Roman" w:hAnsi="Times New Roman" w:eastAsia="宋体"/>
                      <w:bCs/>
                      <w:color w:val="auto"/>
                      <w:sz w:val="21"/>
                      <w:szCs w:val="21"/>
                      <w:vertAlign w:val="superscript"/>
                    </w:rPr>
                    <w:t>2</w:t>
                  </w:r>
                  <w:r>
                    <w:rPr>
                      <w:rFonts w:ascii="Times New Roman" w:hAnsi="Times New Roman" w:eastAsia="宋体"/>
                      <w:bCs/>
                      <w:color w:val="auto"/>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除尘灰</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bCs/>
                      <w:color w:val="auto"/>
                      <w:kern w:val="0"/>
                      <w:sz w:val="21"/>
                      <w:szCs w:val="21"/>
                      <w:lang w:val="en-US" w:eastAsia="zh-CN" w:bidi="ar-SA"/>
                    </w:rPr>
                  </w:pPr>
                  <w:r>
                    <w:rPr>
                      <w:rFonts w:hint="eastAsia" w:ascii="Times New Roman" w:hAnsi="Times New Roman"/>
                      <w:color w:val="auto"/>
                      <w:sz w:val="21"/>
                      <w:szCs w:val="21"/>
                      <w:highlight w:val="none"/>
                    </w:rPr>
                    <w:t>0.</w:t>
                  </w:r>
                  <w:r>
                    <w:rPr>
                      <w:rFonts w:hint="eastAsia" w:ascii="Times New Roman" w:hAnsi="Times New Roman"/>
                      <w:color w:val="auto"/>
                      <w:sz w:val="21"/>
                      <w:szCs w:val="21"/>
                      <w:highlight w:val="none"/>
                      <w:lang w:val="en-US" w:eastAsia="zh-CN"/>
                    </w:rPr>
                    <w:t>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lang w:val="en-US" w:eastAsia="zh-CN"/>
                    </w:rPr>
                    <w:t>污水处理污泥</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lang w:val="en-US" w:eastAsia="zh-CN"/>
                    </w:rPr>
                    <w:t>隔油池污泥</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预处理池污泥</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1858"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bCs/>
                      <w:color w:val="auto"/>
                      <w:sz w:val="21"/>
                      <w:szCs w:val="21"/>
                    </w:rPr>
                    <w:t>废过滤网</w:t>
                  </w:r>
                </w:p>
              </w:tc>
              <w:tc>
                <w:tcPr>
                  <w:tcW w:w="1590" w:type="pct"/>
                  <w:tcBorders>
                    <w:tl2br w:val="nil"/>
                    <w:tr2bl w:val="nil"/>
                  </w:tcBorders>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楷体_GB2312" w:cs="Times New Roman"/>
                      <w:color w:val="auto"/>
                      <w:spacing w:val="-2"/>
                      <w:kern w:val="0"/>
                      <w:sz w:val="21"/>
                      <w:szCs w:val="21"/>
                      <w:lang w:val="en-US" w:eastAsia="zh-CN" w:bidi="ar-SA"/>
                    </w:rPr>
                  </w:pPr>
                  <w:r>
                    <w:rPr>
                      <w:rFonts w:ascii="Times New Roman" w:hAnsi="Times New Roman" w:eastAsia="宋体"/>
                      <w:bCs/>
                      <w:color w:val="auto"/>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楷体_GB2312" w:cs="Times New Roman"/>
                      <w:color w:val="auto"/>
                      <w:spacing w:val="-2"/>
                      <w:kern w:val="0"/>
                      <w:sz w:val="21"/>
                      <w:szCs w:val="21"/>
                      <w:lang w:val="en-US" w:eastAsia="zh-CN" w:bidi="ar-SA"/>
                    </w:rPr>
                  </w:pPr>
                  <w:r>
                    <w:rPr>
                      <w:rFonts w:hint="eastAsia" w:ascii="宋体" w:hAnsi="宋体" w:eastAsia="宋体" w:cs="宋体"/>
                      <w:color w:val="auto"/>
                      <w:sz w:val="21"/>
                      <w:szCs w:val="21"/>
                    </w:rPr>
                    <w:t>清</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沉淀池</w:t>
                  </w:r>
                  <w:r>
                    <w:rPr>
                      <w:rFonts w:hint="eastAsia" w:ascii="Times New Roman" w:hAnsi="Times New Roman" w:eastAsia="宋体" w:cs="宋体"/>
                      <w:bCs/>
                      <w:color w:val="auto"/>
                      <w:sz w:val="21"/>
                      <w:szCs w:val="21"/>
                    </w:rPr>
                    <w:t>浮油</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bCs/>
                      <w:color w:val="auto"/>
                      <w:sz w:val="21"/>
                      <w:szCs w:val="21"/>
                    </w:rPr>
                    <w:t>0.</w:t>
                  </w:r>
                  <w:r>
                    <w:rPr>
                      <w:rFonts w:hint="eastAsia" w:ascii="Times New Roman" w:hAnsi="Times New Roman" w:eastAsia="宋体"/>
                      <w:bCs/>
                      <w:color w:val="auto"/>
                      <w:sz w:val="21"/>
                      <w:szCs w:val="21"/>
                      <w:lang w:val="en-US" w:eastAsia="zh-CN"/>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jc w:val="center"/>
                    <w:rPr>
                      <w:color w:val="auto"/>
                    </w:rPr>
                  </w:pPr>
                  <w:r>
                    <w:rPr>
                      <w:rFonts w:hint="eastAsia" w:ascii="Times New Roman" w:hAnsi="Times New Roman" w:eastAsia="宋体"/>
                      <w:color w:val="auto"/>
                      <w:sz w:val="21"/>
                      <w:szCs w:val="21"/>
                    </w:rPr>
                    <w:t>废UV灯管</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jc w:val="center"/>
                    <w:rPr>
                      <w:color w:val="auto"/>
                    </w:rPr>
                  </w:pPr>
                  <w:r>
                    <w:rPr>
                      <w:rFonts w:hint="eastAsia" w:ascii="Times New Roman" w:hAnsi="Times New Roman" w:eastAsia="宋体"/>
                      <w:bCs/>
                      <w:color w:val="auto"/>
                      <w:sz w:val="21"/>
                      <w:szCs w:val="21"/>
                    </w:rPr>
                    <w:t>废油桶</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cs="Times New Roman"/>
                      <w:color w:val="auto"/>
                      <w:sz w:val="21"/>
                      <w:szCs w:val="21"/>
                    </w:rPr>
                  </w:pPr>
                  <w:r>
                    <w:rPr>
                      <w:rFonts w:hint="eastAsia" w:ascii="Times New Roman" w:hAnsi="Times New Roman"/>
                      <w:color w:val="auto"/>
                      <w:sz w:val="21"/>
                      <w:szCs w:val="21"/>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50"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858" w:type="pct"/>
                  <w:tcBorders>
                    <w:tl2br w:val="nil"/>
                    <w:tr2bl w:val="nil"/>
                  </w:tcBorders>
                  <w:noWrap w:val="0"/>
                  <w:vAlign w:val="center"/>
                </w:tcPr>
                <w:p>
                  <w:pPr>
                    <w:jc w:val="center"/>
                    <w:rPr>
                      <w:color w:val="auto"/>
                    </w:rPr>
                  </w:pPr>
                  <w:r>
                    <w:rPr>
                      <w:rFonts w:hint="eastAsia" w:ascii="Times New Roman" w:hAnsi="Times New Roman" w:eastAsia="宋体"/>
                      <w:color w:val="auto"/>
                      <w:sz w:val="21"/>
                      <w:szCs w:val="21"/>
                    </w:rPr>
                    <w:t>废活性炭</w:t>
                  </w:r>
                </w:p>
              </w:tc>
              <w:tc>
                <w:tcPr>
                  <w:tcW w:w="1590" w:type="pct"/>
                  <w:tcBorders>
                    <w:tl2br w:val="nil"/>
                    <w:tr2bl w:val="nil"/>
                  </w:tcBorders>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21"/>
                      <w:highlight w:val="none"/>
                      <w:lang w:val="en-US" w:eastAsia="zh-CN"/>
                    </w:rPr>
                    <w:t>13.09</w:t>
                  </w:r>
                </w:p>
              </w:tc>
            </w:tr>
          </w:tbl>
          <w:p>
            <w:pPr>
              <w:spacing w:line="360" w:lineRule="auto"/>
              <w:rPr>
                <w:color w:val="auto"/>
                <w:sz w:val="21"/>
                <w:szCs w:val="21"/>
              </w:rPr>
            </w:pPr>
            <w:r>
              <w:rPr>
                <w:rFonts w:hint="eastAsia"/>
                <w:b/>
                <w:color w:val="auto"/>
                <w:sz w:val="21"/>
                <w:szCs w:val="21"/>
                <w:lang w:val="en-US" w:eastAsia="zh-CN"/>
              </w:rPr>
              <w:t>6、</w:t>
            </w:r>
            <w:r>
              <w:rPr>
                <w:rFonts w:hint="eastAsia"/>
                <w:b/>
                <w:color w:val="auto"/>
                <w:sz w:val="21"/>
                <w:szCs w:val="21"/>
              </w:rPr>
              <w:t>土壤、</w:t>
            </w:r>
            <w:r>
              <w:rPr>
                <w:b/>
                <w:color w:val="auto"/>
                <w:sz w:val="21"/>
                <w:szCs w:val="21"/>
              </w:rPr>
              <w:t>地下水污染防治措施</w:t>
            </w:r>
          </w:p>
          <w:p>
            <w:pPr>
              <w:spacing w:line="360" w:lineRule="auto"/>
              <w:ind w:firstLine="420" w:firstLineChars="200"/>
              <w:rPr>
                <w:rFonts w:hint="eastAsia"/>
                <w:color w:val="auto"/>
                <w:sz w:val="21"/>
                <w:szCs w:val="21"/>
              </w:rPr>
            </w:pPr>
            <w:r>
              <w:rPr>
                <w:rFonts w:hint="eastAsia"/>
                <w:color w:val="auto"/>
                <w:sz w:val="21"/>
                <w:szCs w:val="21"/>
              </w:rPr>
              <w:t>为防止建设项目可能对地下水、土壤造成污染，建设项目应对项目地面实施防渗处理，做到防雨、防渗、防漏。</w:t>
            </w:r>
          </w:p>
          <w:p>
            <w:pPr>
              <w:pStyle w:val="28"/>
              <w:keepNext w:val="0"/>
              <w:keepLines w:val="0"/>
              <w:pageBreakBefore w:val="0"/>
              <w:kinsoku/>
              <w:wordWrap/>
              <w:overflowPunct/>
              <w:topLinePunct w:val="0"/>
              <w:autoSpaceDE/>
              <w:autoSpaceDN/>
              <w:bidi w:val="0"/>
              <w:adjustRightInd/>
              <w:spacing w:before="0" w:after="0" w:line="360" w:lineRule="auto"/>
              <w:ind w:right="0" w:firstLine="422" w:firstLineChars="200"/>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1</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潜在污染源及其影响途径</w:t>
            </w:r>
          </w:p>
          <w:p>
            <w:pPr>
              <w:pStyle w:val="28"/>
              <w:spacing w:before="0" w:after="0" w:line="360" w:lineRule="auto"/>
              <w:ind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项目生产过程中对地下水和土壤的潜在污染源及影响途径如下所示：</w:t>
            </w:r>
          </w:p>
          <w:p>
            <w:pPr>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表4-</w:t>
            </w:r>
            <w:r>
              <w:rPr>
                <w:rFonts w:hint="eastAsia" w:ascii="Times New Roman" w:hAnsi="Times New Roman" w:cs="Times New Roman"/>
                <w:b/>
                <w:bCs/>
                <w:color w:val="auto"/>
                <w:szCs w:val="21"/>
                <w:lang w:val="en-US" w:eastAsia="zh-CN"/>
              </w:rPr>
              <w:t>10</w:t>
            </w:r>
            <w:r>
              <w:rPr>
                <w:rFonts w:hint="default" w:ascii="Times New Roman" w:hAnsi="Times New Roman" w:cs="Times New Roman"/>
                <w:b/>
                <w:bCs/>
                <w:color w:val="auto"/>
                <w:szCs w:val="21"/>
              </w:rPr>
              <w:t xml:space="preserve"> 地下水、土壤潜在污染源及其影响途径一览表</w:t>
            </w:r>
          </w:p>
          <w:tbl>
            <w:tblPr>
              <w:tblStyle w:val="30"/>
              <w:tblW w:w="4998"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3"/>
              <w:gridCol w:w="2083"/>
              <w:gridCol w:w="4619"/>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092" w:type="pct"/>
                  <w:shd w:val="clear" w:color="auto" w:fill="DCE6F2" w:themeFill="accent1" w:themeFillTint="32"/>
                  <w:noWrap w:val="0"/>
                  <w:vAlign w:val="center"/>
                </w:tcPr>
                <w:p>
                  <w:pPr>
                    <w:pStyle w:val="28"/>
                    <w:spacing w:before="0" w:after="0" w:line="240" w:lineRule="auto"/>
                    <w:ind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区域</w:t>
                  </w:r>
                </w:p>
              </w:tc>
              <w:tc>
                <w:tcPr>
                  <w:tcW w:w="1214" w:type="pct"/>
                  <w:shd w:val="clear" w:color="auto" w:fill="DCE6F2" w:themeFill="accent1" w:themeFillTint="32"/>
                  <w:noWrap w:val="0"/>
                  <w:vAlign w:val="center"/>
                </w:tcPr>
                <w:p>
                  <w:pPr>
                    <w:pStyle w:val="28"/>
                    <w:spacing w:before="0" w:after="0" w:line="240" w:lineRule="auto"/>
                    <w:ind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潜在污染源</w:t>
                  </w:r>
                </w:p>
              </w:tc>
              <w:tc>
                <w:tcPr>
                  <w:tcW w:w="2692" w:type="pct"/>
                  <w:shd w:val="clear" w:color="auto" w:fill="DCE6F2" w:themeFill="accent1" w:themeFillTint="32"/>
                  <w:noWrap w:val="0"/>
                  <w:vAlign w:val="center"/>
                </w:tcPr>
                <w:p>
                  <w:pPr>
                    <w:pStyle w:val="28"/>
                    <w:spacing w:before="0" w:after="0" w:line="240" w:lineRule="auto"/>
                    <w:ind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影响途径</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092" w:type="pct"/>
                  <w:noWrap w:val="0"/>
                  <w:vAlign w:val="center"/>
                </w:tcPr>
                <w:p>
                  <w:pPr>
                    <w:pStyle w:val="28"/>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生产区域</w:t>
                  </w:r>
                </w:p>
              </w:tc>
              <w:tc>
                <w:tcPr>
                  <w:tcW w:w="1214" w:type="pct"/>
                  <w:noWrap w:val="0"/>
                  <w:vAlign w:val="center"/>
                </w:tcPr>
                <w:p>
                  <w:pPr>
                    <w:pStyle w:val="28"/>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原辅料</w:t>
                  </w:r>
                </w:p>
              </w:tc>
              <w:tc>
                <w:tcPr>
                  <w:tcW w:w="2692" w:type="pct"/>
                  <w:noWrap w:val="0"/>
                  <w:vAlign w:val="center"/>
                </w:tcPr>
                <w:p>
                  <w:pPr>
                    <w:pStyle w:val="28"/>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因原辅料泄漏而发生垂直下渗或通过地面径流影响到土壤和地下水</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1092" w:type="pct"/>
                  <w:noWrap w:val="0"/>
                  <w:vAlign w:val="center"/>
                </w:tcPr>
                <w:p>
                  <w:pPr>
                    <w:pStyle w:val="28"/>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生活、生产区</w:t>
                  </w:r>
                </w:p>
              </w:tc>
              <w:tc>
                <w:tcPr>
                  <w:tcW w:w="1214" w:type="pct"/>
                  <w:noWrap w:val="0"/>
                  <w:vAlign w:val="center"/>
                </w:tcPr>
                <w:p>
                  <w:pPr>
                    <w:pStyle w:val="28"/>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生活污水、生产废水</w:t>
                  </w:r>
                </w:p>
              </w:tc>
              <w:tc>
                <w:tcPr>
                  <w:tcW w:w="2692" w:type="pct"/>
                  <w:noWrap w:val="0"/>
                  <w:vAlign w:val="center"/>
                </w:tcPr>
                <w:p>
                  <w:pPr>
                    <w:pStyle w:val="28"/>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因污水管道破裂、处理设施发生渗漏而导致地下水、土壤受到污染</w:t>
                  </w: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2</w:t>
            </w:r>
            <w:r>
              <w:rPr>
                <w:rFonts w:hint="eastAsia" w:ascii="Times New Roman" w:hAnsi="Times New Roman" w:cs="Times New Roman"/>
                <w:b/>
                <w:color w:val="auto"/>
                <w:sz w:val="24"/>
                <w:szCs w:val="24"/>
                <w:lang w:eastAsia="zh-CN"/>
              </w:rPr>
              <w:t>）</w:t>
            </w:r>
            <w:r>
              <w:rPr>
                <w:rFonts w:hint="default" w:ascii="Times New Roman" w:hAnsi="Times New Roman" w:cs="Times New Roman"/>
                <w:b/>
                <w:bCs/>
                <w:color w:val="auto"/>
                <w:sz w:val="24"/>
                <w:szCs w:val="24"/>
              </w:rPr>
              <w:t>项目防治措施</w:t>
            </w:r>
          </w:p>
          <w:p>
            <w:pPr>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①源头控制措施</w:t>
            </w:r>
          </w:p>
          <w:p>
            <w:pPr>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本项目生产工艺采用国内先进工艺，减少了污染物的排放；本次评价针对生产车间、固体废物暂存间等构筑物采取防渗、防腐措施，将污染物“跑、冒、滴、漏”降到最低。</w:t>
            </w:r>
          </w:p>
          <w:p>
            <w:pPr>
              <w:adjustRightInd w:val="0"/>
              <w:snapToGrid w:val="0"/>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②分区防渗措施</w:t>
            </w:r>
          </w:p>
          <w:p>
            <w:pPr>
              <w:spacing w:line="360" w:lineRule="auto"/>
              <w:ind w:firstLine="480" w:firstLineChars="200"/>
              <w:rPr>
                <w:color w:val="auto"/>
                <w:sz w:val="24"/>
                <w:szCs w:val="24"/>
              </w:rPr>
            </w:pPr>
            <w:r>
              <w:rPr>
                <w:color w:val="auto"/>
                <w:sz w:val="24"/>
                <w:szCs w:val="24"/>
              </w:rPr>
              <w:t>本项目实施过程中，全厂的防渗区划及需整改内容如下表所示：</w:t>
            </w:r>
          </w:p>
          <w:p>
            <w:pPr>
              <w:adjustRightInd w:val="0"/>
              <w:snapToGrid w:val="0"/>
              <w:jc w:val="center"/>
              <w:rPr>
                <w:b/>
                <w:color w:val="auto"/>
                <w:sz w:val="21"/>
                <w:szCs w:val="21"/>
              </w:rPr>
            </w:pPr>
          </w:p>
          <w:p>
            <w:pPr>
              <w:pStyle w:val="2"/>
              <w:rPr>
                <w:b/>
                <w:color w:val="auto"/>
                <w:sz w:val="21"/>
                <w:szCs w:val="21"/>
              </w:rPr>
            </w:pPr>
          </w:p>
          <w:p>
            <w:pPr>
              <w:pStyle w:val="2"/>
              <w:rPr>
                <w:b/>
                <w:color w:val="auto"/>
                <w:sz w:val="21"/>
                <w:szCs w:val="21"/>
              </w:rPr>
            </w:pPr>
          </w:p>
          <w:p>
            <w:pPr>
              <w:adjustRightInd w:val="0"/>
              <w:snapToGrid w:val="0"/>
              <w:jc w:val="center"/>
              <w:rPr>
                <w:b/>
                <w:color w:val="auto"/>
                <w:sz w:val="21"/>
                <w:szCs w:val="21"/>
              </w:rPr>
            </w:pPr>
            <w:r>
              <w:rPr>
                <w:b/>
                <w:color w:val="auto"/>
                <w:sz w:val="21"/>
                <w:szCs w:val="21"/>
              </w:rPr>
              <w:t>表4-</w:t>
            </w:r>
            <w:r>
              <w:rPr>
                <w:rFonts w:hint="eastAsia"/>
                <w:b/>
                <w:color w:val="auto"/>
                <w:sz w:val="21"/>
                <w:szCs w:val="21"/>
                <w:lang w:val="en-US" w:eastAsia="zh-CN"/>
              </w:rPr>
              <w:t>11</w:t>
            </w:r>
            <w:r>
              <w:rPr>
                <w:b/>
                <w:color w:val="auto"/>
                <w:sz w:val="21"/>
                <w:szCs w:val="21"/>
              </w:rPr>
              <w:t xml:space="preserve"> 厂区分区分级防渗区域对照表</w:t>
            </w:r>
          </w:p>
          <w:tbl>
            <w:tblPr>
              <w:tblStyle w:val="3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2465"/>
              <w:gridCol w:w="1505"/>
              <w:gridCol w:w="3300"/>
              <w:gridCol w:w="13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12" w:hRule="atLeast"/>
              </w:trPr>
              <w:tc>
                <w:tcPr>
                  <w:tcW w:w="1435" w:type="pct"/>
                  <w:shd w:val="clear" w:color="auto" w:fill="DCE6F2" w:themeFill="accent1" w:themeFillTint="32"/>
                  <w:noWrap w:val="0"/>
                  <w:vAlign w:val="center"/>
                </w:tcPr>
                <w:p>
                  <w:pPr>
                    <w:jc w:val="center"/>
                    <w:rPr>
                      <w:b/>
                      <w:color w:val="auto"/>
                      <w:sz w:val="21"/>
                      <w:szCs w:val="21"/>
                    </w:rPr>
                  </w:pPr>
                  <w:r>
                    <w:rPr>
                      <w:b/>
                      <w:color w:val="auto"/>
                      <w:sz w:val="21"/>
                      <w:szCs w:val="21"/>
                    </w:rPr>
                    <w:t>区域名称</w:t>
                  </w:r>
                </w:p>
              </w:tc>
              <w:tc>
                <w:tcPr>
                  <w:tcW w:w="876" w:type="pct"/>
                  <w:shd w:val="clear" w:color="auto" w:fill="DCE6F2" w:themeFill="accent1" w:themeFillTint="32"/>
                  <w:noWrap w:val="0"/>
                  <w:vAlign w:val="center"/>
                </w:tcPr>
                <w:p>
                  <w:pPr>
                    <w:jc w:val="center"/>
                    <w:rPr>
                      <w:b/>
                      <w:color w:val="auto"/>
                      <w:sz w:val="21"/>
                      <w:szCs w:val="21"/>
                    </w:rPr>
                  </w:pPr>
                  <w:r>
                    <w:rPr>
                      <w:b/>
                      <w:color w:val="auto"/>
                      <w:sz w:val="21"/>
                      <w:szCs w:val="21"/>
                    </w:rPr>
                    <w:t>分区类别</w:t>
                  </w:r>
                </w:p>
              </w:tc>
              <w:tc>
                <w:tcPr>
                  <w:tcW w:w="1921" w:type="pct"/>
                  <w:shd w:val="clear" w:color="auto" w:fill="DCE6F2" w:themeFill="accent1" w:themeFillTint="32"/>
                  <w:noWrap w:val="0"/>
                  <w:vAlign w:val="center"/>
                </w:tcPr>
                <w:p>
                  <w:pPr>
                    <w:jc w:val="center"/>
                    <w:rPr>
                      <w:rFonts w:hint="eastAsia" w:eastAsia="宋体"/>
                      <w:b/>
                      <w:color w:val="auto"/>
                      <w:sz w:val="21"/>
                      <w:szCs w:val="21"/>
                      <w:lang w:eastAsia="zh-CN"/>
                    </w:rPr>
                  </w:pPr>
                  <w:r>
                    <w:rPr>
                      <w:rFonts w:hint="eastAsia"/>
                      <w:b/>
                      <w:color w:val="auto"/>
                      <w:sz w:val="21"/>
                      <w:szCs w:val="21"/>
                      <w:lang w:eastAsia="zh-CN"/>
                    </w:rPr>
                    <w:t>已采取的</w:t>
                  </w:r>
                  <w:r>
                    <w:rPr>
                      <w:b/>
                      <w:color w:val="auto"/>
                      <w:sz w:val="21"/>
                      <w:szCs w:val="21"/>
                    </w:rPr>
                    <w:t>防渗</w:t>
                  </w:r>
                  <w:r>
                    <w:rPr>
                      <w:rFonts w:hint="eastAsia"/>
                      <w:b/>
                      <w:color w:val="auto"/>
                      <w:sz w:val="21"/>
                      <w:szCs w:val="21"/>
                      <w:lang w:eastAsia="zh-CN"/>
                    </w:rPr>
                    <w:t>措施</w:t>
                  </w:r>
                </w:p>
              </w:tc>
              <w:tc>
                <w:tcPr>
                  <w:tcW w:w="766" w:type="pct"/>
                  <w:shd w:val="clear" w:color="auto" w:fill="DCE6F2" w:themeFill="accent1" w:themeFillTint="32"/>
                  <w:noWrap w:val="0"/>
                  <w:vAlign w:val="center"/>
                </w:tcPr>
                <w:p>
                  <w:pPr>
                    <w:jc w:val="center"/>
                    <w:rPr>
                      <w:b/>
                      <w:color w:val="auto"/>
                      <w:sz w:val="21"/>
                      <w:szCs w:val="21"/>
                    </w:rPr>
                  </w:pPr>
                  <w:r>
                    <w:rPr>
                      <w:b/>
                      <w:color w:val="auto"/>
                      <w:sz w:val="21"/>
                      <w:szCs w:val="21"/>
                    </w:rPr>
                    <w:t>是否</w:t>
                  </w:r>
                  <w:r>
                    <w:rPr>
                      <w:rFonts w:hint="eastAsia"/>
                      <w:b/>
                      <w:color w:val="auto"/>
                      <w:sz w:val="21"/>
                      <w:szCs w:val="21"/>
                      <w:lang w:eastAsia="zh-CN"/>
                    </w:rPr>
                    <w:t>需要</w:t>
                  </w:r>
                  <w:r>
                    <w:rPr>
                      <w:b/>
                      <w:color w:val="auto"/>
                      <w:sz w:val="21"/>
                      <w:szCs w:val="21"/>
                    </w:rPr>
                    <w:t>整改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836" w:hRule="atLeast"/>
              </w:trPr>
              <w:tc>
                <w:tcPr>
                  <w:tcW w:w="1435" w:type="pct"/>
                  <w:noWrap w:val="0"/>
                  <w:vAlign w:val="center"/>
                </w:tcPr>
                <w:p>
                  <w:pPr>
                    <w:jc w:val="center"/>
                    <w:rPr>
                      <w:color w:val="auto"/>
                      <w:sz w:val="21"/>
                      <w:szCs w:val="21"/>
                    </w:rPr>
                  </w:pPr>
                  <w:r>
                    <w:rPr>
                      <w:color w:val="auto"/>
                      <w:sz w:val="21"/>
                      <w:szCs w:val="21"/>
                    </w:rPr>
                    <w:t>危废暂存间</w:t>
                  </w:r>
                </w:p>
              </w:tc>
              <w:tc>
                <w:tcPr>
                  <w:tcW w:w="876" w:type="pct"/>
                  <w:noWrap w:val="0"/>
                  <w:vAlign w:val="center"/>
                </w:tcPr>
                <w:p>
                  <w:pPr>
                    <w:jc w:val="center"/>
                    <w:rPr>
                      <w:color w:val="auto"/>
                      <w:sz w:val="21"/>
                      <w:szCs w:val="21"/>
                    </w:rPr>
                  </w:pPr>
                  <w:r>
                    <w:rPr>
                      <w:color w:val="auto"/>
                      <w:sz w:val="21"/>
                      <w:szCs w:val="21"/>
                    </w:rPr>
                    <w:t>重点防渗区</w:t>
                  </w:r>
                </w:p>
              </w:tc>
              <w:tc>
                <w:tcPr>
                  <w:tcW w:w="1921" w:type="pct"/>
                  <w:noWrap w:val="0"/>
                  <w:vAlign w:val="center"/>
                </w:tcPr>
                <w:p>
                  <w:pPr>
                    <w:jc w:val="center"/>
                    <w:rPr>
                      <w:color w:val="auto"/>
                      <w:sz w:val="21"/>
                      <w:szCs w:val="21"/>
                    </w:rPr>
                  </w:pPr>
                  <w:r>
                    <w:rPr>
                      <w:color w:val="auto"/>
                      <w:sz w:val="21"/>
                      <w:szCs w:val="21"/>
                    </w:rPr>
                    <w:t>防渗措施已采用防渗混凝土+</w:t>
                  </w:r>
                  <w:r>
                    <w:rPr>
                      <w:rFonts w:hint="eastAsia"/>
                      <w:color w:val="auto"/>
                      <w:sz w:val="21"/>
                      <w:szCs w:val="21"/>
                      <w:lang w:eastAsia="zh-CN"/>
                    </w:rPr>
                    <w:t>防渗涂层</w:t>
                  </w:r>
                  <w:r>
                    <w:rPr>
                      <w:color w:val="auto"/>
                      <w:sz w:val="21"/>
                      <w:szCs w:val="21"/>
                    </w:rPr>
                    <w:t>，等效黏土防渗层Mb≥6.0m，K≤10</w:t>
                  </w:r>
                  <w:r>
                    <w:rPr>
                      <w:color w:val="auto"/>
                      <w:sz w:val="21"/>
                      <w:szCs w:val="21"/>
                      <w:vertAlign w:val="superscript"/>
                    </w:rPr>
                    <w:t>-10</w:t>
                  </w:r>
                  <w:r>
                    <w:rPr>
                      <w:color w:val="auto"/>
                      <w:sz w:val="21"/>
                      <w:szCs w:val="21"/>
                    </w:rPr>
                    <w:t>cm/s；或参照GB18598执行</w:t>
                  </w:r>
                </w:p>
              </w:tc>
              <w:tc>
                <w:tcPr>
                  <w:tcW w:w="766" w:type="pct"/>
                  <w:noWrap w:val="0"/>
                  <w:vAlign w:val="center"/>
                </w:tcPr>
                <w:p>
                  <w:pPr>
                    <w:jc w:val="center"/>
                    <w:rPr>
                      <w:rFonts w:hint="eastAsia" w:eastAsia="宋体"/>
                      <w:color w:val="auto"/>
                      <w:sz w:val="21"/>
                      <w:szCs w:val="21"/>
                      <w:lang w:eastAsia="zh-CN"/>
                    </w:rPr>
                  </w:pPr>
                  <w:r>
                    <w:rPr>
                      <w:rFonts w:hint="eastAsia"/>
                      <w:color w:val="auto"/>
                      <w:sz w:val="21"/>
                      <w:szCs w:val="21"/>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836" w:hRule="atLeast"/>
              </w:trPr>
              <w:tc>
                <w:tcPr>
                  <w:tcW w:w="1435" w:type="pct"/>
                  <w:noWrap w:val="0"/>
                  <w:vAlign w:val="center"/>
                </w:tcPr>
                <w:p>
                  <w:pPr>
                    <w:jc w:val="center"/>
                    <w:rPr>
                      <w:color w:val="auto"/>
                      <w:sz w:val="21"/>
                      <w:szCs w:val="21"/>
                    </w:rPr>
                  </w:pPr>
                  <w:r>
                    <w:rPr>
                      <w:color w:val="auto"/>
                      <w:sz w:val="21"/>
                      <w:szCs w:val="21"/>
                    </w:rPr>
                    <w:t>污水处理站、污水管道</w:t>
                  </w:r>
                </w:p>
              </w:tc>
              <w:tc>
                <w:tcPr>
                  <w:tcW w:w="876" w:type="pct"/>
                  <w:noWrap w:val="0"/>
                  <w:vAlign w:val="center"/>
                </w:tcPr>
                <w:p>
                  <w:pPr>
                    <w:jc w:val="center"/>
                    <w:rPr>
                      <w:color w:val="auto"/>
                      <w:sz w:val="21"/>
                      <w:szCs w:val="21"/>
                    </w:rPr>
                  </w:pPr>
                  <w:r>
                    <w:rPr>
                      <w:color w:val="auto"/>
                      <w:sz w:val="21"/>
                      <w:szCs w:val="21"/>
                    </w:rPr>
                    <w:t>重点防渗区</w:t>
                  </w:r>
                </w:p>
              </w:tc>
              <w:tc>
                <w:tcPr>
                  <w:tcW w:w="1921" w:type="pct"/>
                  <w:noWrap w:val="0"/>
                  <w:vAlign w:val="center"/>
                </w:tcPr>
                <w:p>
                  <w:pPr>
                    <w:jc w:val="center"/>
                    <w:rPr>
                      <w:color w:val="auto"/>
                      <w:sz w:val="21"/>
                      <w:szCs w:val="21"/>
                    </w:rPr>
                  </w:pPr>
                  <w:r>
                    <w:rPr>
                      <w:color w:val="auto"/>
                      <w:sz w:val="21"/>
                      <w:szCs w:val="21"/>
                    </w:rPr>
                    <w:t>防渗措施已采用防渗混凝土，等效黏土防渗层Mb≥</w:t>
                  </w:r>
                  <w:r>
                    <w:rPr>
                      <w:rFonts w:hint="eastAsia"/>
                      <w:color w:val="auto"/>
                      <w:sz w:val="21"/>
                      <w:szCs w:val="21"/>
                    </w:rPr>
                    <w:t>6.0</w:t>
                  </w:r>
                  <w:r>
                    <w:rPr>
                      <w:color w:val="auto"/>
                      <w:sz w:val="21"/>
                      <w:szCs w:val="21"/>
                    </w:rPr>
                    <w:t>m，K≤10</w:t>
                  </w:r>
                  <w:r>
                    <w:rPr>
                      <w:color w:val="auto"/>
                      <w:sz w:val="21"/>
                      <w:szCs w:val="21"/>
                      <w:vertAlign w:val="superscript"/>
                    </w:rPr>
                    <w:t>-7</w:t>
                  </w:r>
                  <w:r>
                    <w:rPr>
                      <w:color w:val="auto"/>
                      <w:sz w:val="21"/>
                      <w:szCs w:val="21"/>
                    </w:rPr>
                    <w:t>cm/s；或参照GB18598执行</w:t>
                  </w:r>
                </w:p>
              </w:tc>
              <w:tc>
                <w:tcPr>
                  <w:tcW w:w="766" w:type="pct"/>
                  <w:noWrap w:val="0"/>
                  <w:vAlign w:val="center"/>
                </w:tcPr>
                <w:p>
                  <w:pPr>
                    <w:jc w:val="center"/>
                    <w:rPr>
                      <w:color w:val="auto"/>
                      <w:sz w:val="21"/>
                      <w:szCs w:val="21"/>
                    </w:rPr>
                  </w:pPr>
                  <w:r>
                    <w:rPr>
                      <w:rFonts w:hint="eastAsia"/>
                      <w:color w:val="auto"/>
                      <w:sz w:val="21"/>
                      <w:szCs w:val="21"/>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07" w:hRule="atLeast"/>
              </w:trPr>
              <w:tc>
                <w:tcPr>
                  <w:tcW w:w="1435" w:type="pct"/>
                  <w:noWrap w:val="0"/>
                  <w:vAlign w:val="center"/>
                </w:tcPr>
                <w:p>
                  <w:pPr>
                    <w:jc w:val="center"/>
                    <w:rPr>
                      <w:color w:val="auto"/>
                      <w:sz w:val="21"/>
                      <w:szCs w:val="21"/>
                    </w:rPr>
                  </w:pPr>
                  <w:r>
                    <w:rPr>
                      <w:rFonts w:hint="eastAsia"/>
                      <w:color w:val="auto"/>
                      <w:sz w:val="21"/>
                      <w:szCs w:val="21"/>
                      <w:lang w:eastAsia="zh-CN"/>
                    </w:rPr>
                    <w:t>原料</w:t>
                  </w:r>
                  <w:r>
                    <w:rPr>
                      <w:color w:val="auto"/>
                      <w:sz w:val="21"/>
                      <w:szCs w:val="21"/>
                    </w:rPr>
                    <w:t>库房、</w:t>
                  </w:r>
                  <w:r>
                    <w:rPr>
                      <w:rFonts w:hint="eastAsia"/>
                      <w:color w:val="auto"/>
                      <w:sz w:val="21"/>
                      <w:szCs w:val="21"/>
                      <w:lang w:eastAsia="zh-CN"/>
                    </w:rPr>
                    <w:t>产品</w:t>
                  </w:r>
                  <w:r>
                    <w:rPr>
                      <w:color w:val="auto"/>
                      <w:sz w:val="21"/>
                      <w:szCs w:val="21"/>
                    </w:rPr>
                    <w:t>库房</w:t>
                  </w:r>
                </w:p>
              </w:tc>
              <w:tc>
                <w:tcPr>
                  <w:tcW w:w="876" w:type="pct"/>
                  <w:noWrap w:val="0"/>
                  <w:vAlign w:val="center"/>
                </w:tcPr>
                <w:p>
                  <w:pPr>
                    <w:jc w:val="center"/>
                    <w:rPr>
                      <w:color w:val="auto"/>
                      <w:sz w:val="21"/>
                      <w:szCs w:val="21"/>
                    </w:rPr>
                  </w:pPr>
                  <w:r>
                    <w:rPr>
                      <w:rFonts w:hint="eastAsia"/>
                      <w:color w:val="auto"/>
                      <w:sz w:val="21"/>
                      <w:szCs w:val="21"/>
                      <w:lang w:eastAsia="zh-CN"/>
                    </w:rPr>
                    <w:t>一般</w:t>
                  </w:r>
                  <w:r>
                    <w:rPr>
                      <w:color w:val="auto"/>
                      <w:sz w:val="21"/>
                      <w:szCs w:val="21"/>
                    </w:rPr>
                    <w:t>防渗区</w:t>
                  </w:r>
                </w:p>
              </w:tc>
              <w:tc>
                <w:tcPr>
                  <w:tcW w:w="1921" w:type="pct"/>
                  <w:noWrap w:val="0"/>
                  <w:vAlign w:val="center"/>
                </w:tcPr>
                <w:p>
                  <w:pPr>
                    <w:jc w:val="center"/>
                    <w:rPr>
                      <w:rFonts w:hint="eastAsia" w:eastAsia="宋体"/>
                      <w:color w:val="auto"/>
                      <w:sz w:val="21"/>
                      <w:szCs w:val="21"/>
                      <w:lang w:eastAsia="zh-CN"/>
                    </w:rPr>
                  </w:pPr>
                  <w:r>
                    <w:rPr>
                      <w:color w:val="auto"/>
                      <w:sz w:val="21"/>
                      <w:szCs w:val="21"/>
                    </w:rPr>
                    <w:t>防渗措施已采用渗混凝土</w:t>
                  </w:r>
                  <w:r>
                    <w:rPr>
                      <w:rFonts w:hint="eastAsia"/>
                      <w:color w:val="auto"/>
                      <w:sz w:val="21"/>
                      <w:szCs w:val="21"/>
                      <w:lang w:eastAsia="zh-CN"/>
                    </w:rPr>
                    <w:t>防渗处理</w:t>
                  </w:r>
                </w:p>
              </w:tc>
              <w:tc>
                <w:tcPr>
                  <w:tcW w:w="766" w:type="pct"/>
                  <w:noWrap w:val="0"/>
                  <w:vAlign w:val="center"/>
                </w:tcPr>
                <w:p>
                  <w:pPr>
                    <w:jc w:val="center"/>
                    <w:rPr>
                      <w:color w:val="auto"/>
                      <w:sz w:val="21"/>
                      <w:szCs w:val="21"/>
                    </w:rPr>
                  </w:pPr>
                  <w:r>
                    <w:rPr>
                      <w:rFonts w:hint="eastAsia"/>
                      <w:color w:val="auto"/>
                      <w:sz w:val="21"/>
                      <w:szCs w:val="21"/>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32" w:hRule="atLeast"/>
              </w:trPr>
              <w:tc>
                <w:tcPr>
                  <w:tcW w:w="1435" w:type="pct"/>
                  <w:noWrap w:val="0"/>
                  <w:vAlign w:val="center"/>
                </w:tcPr>
                <w:p>
                  <w:pPr>
                    <w:jc w:val="center"/>
                    <w:rPr>
                      <w:color w:val="auto"/>
                      <w:sz w:val="21"/>
                      <w:szCs w:val="21"/>
                    </w:rPr>
                  </w:pPr>
                  <w:r>
                    <w:rPr>
                      <w:color w:val="auto"/>
                      <w:sz w:val="21"/>
                      <w:szCs w:val="21"/>
                    </w:rPr>
                    <w:t>一般固废暂存间</w:t>
                  </w:r>
                </w:p>
              </w:tc>
              <w:tc>
                <w:tcPr>
                  <w:tcW w:w="876" w:type="pct"/>
                  <w:noWrap w:val="0"/>
                  <w:vAlign w:val="center"/>
                </w:tcPr>
                <w:p>
                  <w:pPr>
                    <w:jc w:val="center"/>
                    <w:rPr>
                      <w:color w:val="auto"/>
                      <w:sz w:val="21"/>
                      <w:szCs w:val="21"/>
                    </w:rPr>
                  </w:pPr>
                  <w:r>
                    <w:rPr>
                      <w:color w:val="auto"/>
                      <w:sz w:val="21"/>
                      <w:szCs w:val="21"/>
                    </w:rPr>
                    <w:t>一般防渗区</w:t>
                  </w:r>
                </w:p>
              </w:tc>
              <w:tc>
                <w:tcPr>
                  <w:tcW w:w="1921" w:type="pct"/>
                  <w:noWrap w:val="0"/>
                  <w:vAlign w:val="center"/>
                </w:tcPr>
                <w:p>
                  <w:pPr>
                    <w:jc w:val="center"/>
                    <w:rPr>
                      <w:color w:val="auto"/>
                      <w:sz w:val="21"/>
                      <w:szCs w:val="21"/>
                    </w:rPr>
                  </w:pPr>
                  <w:r>
                    <w:rPr>
                      <w:color w:val="auto"/>
                      <w:sz w:val="21"/>
                      <w:szCs w:val="21"/>
                    </w:rPr>
                    <w:t>采取防渗混凝土进行防渗处理</w:t>
                  </w:r>
                </w:p>
              </w:tc>
              <w:tc>
                <w:tcPr>
                  <w:tcW w:w="766" w:type="pct"/>
                  <w:noWrap w:val="0"/>
                  <w:vAlign w:val="center"/>
                </w:tcPr>
                <w:p>
                  <w:pPr>
                    <w:jc w:val="center"/>
                    <w:rPr>
                      <w:color w:val="auto"/>
                      <w:sz w:val="21"/>
                      <w:szCs w:val="21"/>
                    </w:rPr>
                  </w:pPr>
                  <w:r>
                    <w:rPr>
                      <w:rFonts w:hint="eastAsia"/>
                      <w:color w:val="auto"/>
                      <w:sz w:val="21"/>
                      <w:szCs w:val="21"/>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25" w:hRule="atLeast"/>
              </w:trPr>
              <w:tc>
                <w:tcPr>
                  <w:tcW w:w="1435" w:type="pct"/>
                  <w:noWrap w:val="0"/>
                  <w:vAlign w:val="center"/>
                </w:tcPr>
                <w:p>
                  <w:pPr>
                    <w:jc w:val="center"/>
                    <w:rPr>
                      <w:color w:val="auto"/>
                      <w:sz w:val="21"/>
                      <w:szCs w:val="21"/>
                    </w:rPr>
                  </w:pPr>
                  <w:r>
                    <w:rPr>
                      <w:color w:val="auto"/>
                      <w:sz w:val="21"/>
                      <w:szCs w:val="21"/>
                    </w:rPr>
                    <w:t>生产车间</w:t>
                  </w:r>
                </w:p>
              </w:tc>
              <w:tc>
                <w:tcPr>
                  <w:tcW w:w="876" w:type="pct"/>
                  <w:noWrap w:val="0"/>
                  <w:vAlign w:val="center"/>
                </w:tcPr>
                <w:p>
                  <w:pPr>
                    <w:jc w:val="center"/>
                    <w:rPr>
                      <w:color w:val="auto"/>
                      <w:sz w:val="21"/>
                      <w:szCs w:val="21"/>
                    </w:rPr>
                  </w:pPr>
                  <w:r>
                    <w:rPr>
                      <w:color w:val="auto"/>
                      <w:sz w:val="21"/>
                      <w:szCs w:val="21"/>
                    </w:rPr>
                    <w:t>一般防渗区</w:t>
                  </w:r>
                </w:p>
              </w:tc>
              <w:tc>
                <w:tcPr>
                  <w:tcW w:w="1921" w:type="pct"/>
                  <w:noWrap w:val="0"/>
                  <w:vAlign w:val="center"/>
                </w:tcPr>
                <w:p>
                  <w:pPr>
                    <w:jc w:val="center"/>
                    <w:rPr>
                      <w:color w:val="auto"/>
                      <w:sz w:val="21"/>
                      <w:szCs w:val="21"/>
                    </w:rPr>
                  </w:pPr>
                  <w:r>
                    <w:rPr>
                      <w:color w:val="auto"/>
                      <w:sz w:val="21"/>
                      <w:szCs w:val="21"/>
                    </w:rPr>
                    <w:t>采取防渗混凝土进行防渗处理</w:t>
                  </w:r>
                </w:p>
              </w:tc>
              <w:tc>
                <w:tcPr>
                  <w:tcW w:w="766" w:type="pct"/>
                  <w:noWrap w:val="0"/>
                  <w:vAlign w:val="center"/>
                </w:tcPr>
                <w:p>
                  <w:pPr>
                    <w:jc w:val="center"/>
                    <w:rPr>
                      <w:color w:val="auto"/>
                      <w:sz w:val="21"/>
                      <w:szCs w:val="21"/>
                    </w:rPr>
                  </w:pPr>
                  <w:r>
                    <w:rPr>
                      <w:rFonts w:hint="eastAsia"/>
                      <w:color w:val="auto"/>
                      <w:sz w:val="21"/>
                      <w:szCs w:val="21"/>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25" w:hRule="atLeast"/>
              </w:trPr>
              <w:tc>
                <w:tcPr>
                  <w:tcW w:w="1435" w:type="pct"/>
                  <w:noWrap w:val="0"/>
                  <w:vAlign w:val="center"/>
                </w:tcPr>
                <w:p>
                  <w:pPr>
                    <w:jc w:val="center"/>
                    <w:rPr>
                      <w:color w:val="auto"/>
                      <w:szCs w:val="21"/>
                    </w:rPr>
                  </w:pPr>
                  <w:r>
                    <w:rPr>
                      <w:color w:val="auto"/>
                      <w:szCs w:val="21"/>
                    </w:rPr>
                    <w:t>办公室、卫生间、食堂</w:t>
                  </w:r>
                </w:p>
              </w:tc>
              <w:tc>
                <w:tcPr>
                  <w:tcW w:w="876" w:type="pct"/>
                  <w:noWrap w:val="0"/>
                  <w:vAlign w:val="center"/>
                </w:tcPr>
                <w:p>
                  <w:pPr>
                    <w:jc w:val="center"/>
                    <w:rPr>
                      <w:color w:val="auto"/>
                      <w:szCs w:val="21"/>
                    </w:rPr>
                  </w:pPr>
                  <w:r>
                    <w:rPr>
                      <w:color w:val="auto"/>
                      <w:szCs w:val="21"/>
                    </w:rPr>
                    <w:t>简单防渗区</w:t>
                  </w:r>
                </w:p>
              </w:tc>
              <w:tc>
                <w:tcPr>
                  <w:tcW w:w="1921" w:type="pct"/>
                  <w:noWrap w:val="0"/>
                  <w:vAlign w:val="center"/>
                </w:tcPr>
                <w:p>
                  <w:pPr>
                    <w:jc w:val="center"/>
                    <w:rPr>
                      <w:color w:val="auto"/>
                      <w:szCs w:val="21"/>
                    </w:rPr>
                  </w:pPr>
                  <w:r>
                    <w:rPr>
                      <w:color w:val="auto"/>
                      <w:szCs w:val="21"/>
                    </w:rPr>
                    <w:t>地面进行硬化</w:t>
                  </w:r>
                </w:p>
              </w:tc>
              <w:tc>
                <w:tcPr>
                  <w:tcW w:w="766" w:type="pct"/>
                  <w:noWrap w:val="0"/>
                  <w:vAlign w:val="center"/>
                </w:tcPr>
                <w:p>
                  <w:pPr>
                    <w:jc w:val="center"/>
                    <w:rPr>
                      <w:color w:val="auto"/>
                      <w:szCs w:val="21"/>
                    </w:rPr>
                  </w:pPr>
                  <w:r>
                    <w:rPr>
                      <w:rFonts w:hint="eastAsia"/>
                      <w:color w:val="auto"/>
                      <w:sz w:val="21"/>
                      <w:szCs w:val="21"/>
                      <w:lang w:eastAsia="zh-CN"/>
                    </w:rPr>
                    <w:t>否</w:t>
                  </w:r>
                </w:p>
              </w:tc>
            </w:tr>
          </w:tbl>
          <w:p>
            <w:pPr>
              <w:spacing w:line="360" w:lineRule="auto"/>
              <w:ind w:firstLine="480" w:firstLineChars="200"/>
              <w:rPr>
                <w:color w:val="auto"/>
                <w:sz w:val="24"/>
                <w:szCs w:val="24"/>
              </w:rPr>
            </w:pPr>
            <w:r>
              <w:rPr>
                <w:color w:val="auto"/>
                <w:sz w:val="24"/>
                <w:szCs w:val="24"/>
              </w:rPr>
              <w:t>本项目不向地下注水和排水，所有建筑均进行防渗漏的地面硬化措施，项目正常情况下不会对地下水造成污染影响。</w:t>
            </w:r>
          </w:p>
          <w:p>
            <w:pPr>
              <w:pStyle w:val="10"/>
              <w:spacing w:before="0" w:after="0" w:line="360" w:lineRule="auto"/>
              <w:ind w:right="0" w:firstLine="480" w:firstLineChars="200"/>
              <w:jc w:val="left"/>
              <w:rPr>
                <w:rFonts w:ascii="宋体" w:hAnsi="宋体" w:cs="宋体"/>
                <w:color w:val="auto"/>
                <w:sz w:val="24"/>
                <w:szCs w:val="24"/>
              </w:rPr>
            </w:pPr>
            <w:r>
              <w:rPr>
                <w:rFonts w:hint="eastAsia"/>
                <w:color w:val="auto"/>
                <w:sz w:val="24"/>
                <w:szCs w:val="24"/>
                <w:lang w:eastAsia="zh-CN"/>
              </w:rPr>
              <w:t>综上所述，在采取以上分区防治措施</w:t>
            </w:r>
            <w:r>
              <w:rPr>
                <w:rFonts w:hint="eastAsia" w:ascii="宋体" w:hAnsi="宋体" w:cs="宋体"/>
                <w:color w:val="auto"/>
                <w:sz w:val="24"/>
                <w:szCs w:val="24"/>
                <w:lang w:eastAsia="zh-CN"/>
              </w:rPr>
              <w:t>后</w:t>
            </w:r>
            <w:r>
              <w:rPr>
                <w:rFonts w:ascii="宋体" w:hAnsi="宋体" w:cs="宋体"/>
                <w:color w:val="auto"/>
                <w:sz w:val="24"/>
                <w:szCs w:val="24"/>
              </w:rPr>
              <w:t>，本项目运营</w:t>
            </w:r>
            <w:r>
              <w:rPr>
                <w:rFonts w:hint="eastAsia" w:ascii="宋体" w:hAnsi="宋体" w:cs="宋体"/>
                <w:color w:val="auto"/>
                <w:sz w:val="24"/>
                <w:szCs w:val="24"/>
                <w:lang w:eastAsia="zh-CN"/>
              </w:rPr>
              <w:t>期</w:t>
            </w:r>
            <w:r>
              <w:rPr>
                <w:rFonts w:ascii="宋体" w:hAnsi="宋体" w:cs="宋体"/>
                <w:color w:val="auto"/>
                <w:sz w:val="24"/>
                <w:szCs w:val="24"/>
              </w:rPr>
              <w:t>对区域</w:t>
            </w:r>
            <w:r>
              <w:rPr>
                <w:rFonts w:hint="eastAsia" w:ascii="宋体" w:hAnsi="宋体" w:cs="宋体"/>
                <w:color w:val="auto"/>
                <w:sz w:val="24"/>
                <w:szCs w:val="24"/>
                <w:lang w:eastAsia="zh-CN"/>
              </w:rPr>
              <w:t>地下水、</w:t>
            </w:r>
            <w:r>
              <w:rPr>
                <w:rFonts w:ascii="宋体" w:hAnsi="宋体" w:cs="宋体"/>
                <w:color w:val="auto"/>
                <w:sz w:val="24"/>
                <w:szCs w:val="24"/>
              </w:rPr>
              <w:t>土壤环境影响较小。</w:t>
            </w:r>
          </w:p>
          <w:p>
            <w:pPr>
              <w:tabs>
                <w:tab w:val="left" w:pos="966"/>
              </w:tabs>
              <w:spacing w:line="360" w:lineRule="auto"/>
              <w:rPr>
                <w:b/>
                <w:bCs/>
                <w:color w:val="auto"/>
                <w:sz w:val="24"/>
                <w:szCs w:val="24"/>
              </w:rPr>
            </w:pPr>
            <w:r>
              <w:rPr>
                <w:rFonts w:hint="eastAsia"/>
                <w:b/>
                <w:bCs/>
                <w:color w:val="auto"/>
                <w:sz w:val="24"/>
                <w:szCs w:val="24"/>
                <w:lang w:val="en-US" w:eastAsia="zh-CN"/>
              </w:rPr>
              <w:t>7</w:t>
            </w:r>
            <w:r>
              <w:rPr>
                <w:b/>
                <w:bCs/>
                <w:color w:val="auto"/>
                <w:sz w:val="24"/>
                <w:szCs w:val="24"/>
              </w:rPr>
              <w:t>、三本账分析</w:t>
            </w:r>
          </w:p>
          <w:p>
            <w:pPr>
              <w:pStyle w:val="10"/>
              <w:spacing w:before="0" w:after="0" w:line="360" w:lineRule="auto"/>
              <w:ind w:right="0" w:firstLine="480" w:firstLineChars="200"/>
              <w:rPr>
                <w:color w:val="auto"/>
                <w:sz w:val="24"/>
                <w:szCs w:val="24"/>
              </w:rPr>
            </w:pPr>
            <w:r>
              <w:rPr>
                <w:rFonts w:hint="default" w:ascii="Times New Roman" w:hAnsi="Times New Roman" w:cs="Times New Roman"/>
                <w:color w:val="auto"/>
                <w:kern w:val="0"/>
                <w:sz w:val="24"/>
                <w:szCs w:val="24"/>
              </w:rPr>
              <w:t>项目技改前后全厂污染物排放“三本帐”统计情况</w:t>
            </w:r>
            <w:r>
              <w:rPr>
                <w:color w:val="auto"/>
                <w:sz w:val="24"/>
                <w:szCs w:val="24"/>
              </w:rPr>
              <w:t>分析如下：</w:t>
            </w:r>
          </w:p>
          <w:p>
            <w:pPr>
              <w:tabs>
                <w:tab w:val="left" w:pos="966"/>
              </w:tabs>
              <w:jc w:val="center"/>
              <w:rPr>
                <w:rFonts w:ascii="Times New Roman" w:hAnsi="Times New Roman" w:eastAsia="宋体"/>
                <w:b/>
                <w:color w:val="auto"/>
                <w:sz w:val="21"/>
                <w:szCs w:val="21"/>
              </w:rPr>
            </w:pPr>
            <w:r>
              <w:rPr>
                <w:b/>
                <w:bCs/>
                <w:color w:val="auto"/>
                <w:szCs w:val="21"/>
              </w:rPr>
              <w:t>表4-</w:t>
            </w:r>
            <w:r>
              <w:rPr>
                <w:rFonts w:hint="eastAsia"/>
                <w:b/>
                <w:bCs/>
                <w:color w:val="auto"/>
                <w:szCs w:val="21"/>
                <w:lang w:val="en-US" w:eastAsia="zh-CN"/>
              </w:rPr>
              <w:t>12</w:t>
            </w:r>
            <w:r>
              <w:rPr>
                <w:b/>
                <w:bCs/>
                <w:color w:val="auto"/>
                <w:szCs w:val="21"/>
              </w:rPr>
              <w:t xml:space="preserve"> 本项目技改前、后“三本帐”分析</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881"/>
              <w:gridCol w:w="1955"/>
              <w:gridCol w:w="1209"/>
              <w:gridCol w:w="1328"/>
              <w:gridCol w:w="1473"/>
              <w:gridCol w:w="1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shd w:val="clear" w:color="auto" w:fill="DCE6F2" w:themeFill="accent1" w:themeFillTint="32"/>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污染物类别</w:t>
                  </w:r>
                </w:p>
              </w:tc>
              <w:tc>
                <w:tcPr>
                  <w:tcW w:w="1651" w:type="pct"/>
                  <w:gridSpan w:val="2"/>
                  <w:shd w:val="clear" w:color="auto" w:fill="DCE6F2" w:themeFill="accent1" w:themeFillTint="32"/>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污染物名称</w:t>
                  </w:r>
                </w:p>
              </w:tc>
              <w:tc>
                <w:tcPr>
                  <w:tcW w:w="704" w:type="pct"/>
                  <w:shd w:val="clear" w:color="auto" w:fill="DCE6F2" w:themeFill="accent1" w:themeFillTint="32"/>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企业现有排放量（t/a）</w:t>
                  </w:r>
                </w:p>
              </w:tc>
              <w:tc>
                <w:tcPr>
                  <w:tcW w:w="773" w:type="pct"/>
                  <w:shd w:val="clear" w:color="auto" w:fill="DCE6F2" w:themeFill="accent1" w:themeFillTint="32"/>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厂区以新带老削减量（t/a）</w:t>
                  </w:r>
                </w:p>
              </w:tc>
              <w:tc>
                <w:tcPr>
                  <w:tcW w:w="857" w:type="pct"/>
                  <w:shd w:val="clear" w:color="auto" w:fill="DCE6F2" w:themeFill="accent1" w:themeFillTint="32"/>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技改后</w:t>
                  </w:r>
                  <w:r>
                    <w:rPr>
                      <w:rFonts w:hint="default" w:ascii="Times New Roman" w:hAnsi="Times New Roman" w:eastAsia="宋体" w:cs="Times New Roman"/>
                      <w:b/>
                      <w:bCs w:val="0"/>
                      <w:color w:val="auto"/>
                      <w:sz w:val="21"/>
                      <w:szCs w:val="21"/>
                      <w:lang w:val="en-US" w:eastAsia="zh-CN"/>
                    </w:rPr>
                    <w:t>全厂</w:t>
                  </w:r>
                  <w:r>
                    <w:rPr>
                      <w:rFonts w:hint="default" w:ascii="Times New Roman" w:hAnsi="Times New Roman" w:eastAsia="宋体" w:cs="Times New Roman"/>
                      <w:b/>
                      <w:bCs w:val="0"/>
                      <w:color w:val="auto"/>
                      <w:sz w:val="21"/>
                      <w:szCs w:val="21"/>
                    </w:rPr>
                    <w:t>排放量（t/a）</w:t>
                  </w:r>
                </w:p>
              </w:tc>
              <w:tc>
                <w:tcPr>
                  <w:tcW w:w="587" w:type="pct"/>
                  <w:shd w:val="clear" w:color="auto" w:fill="DCE6F2" w:themeFill="accent1" w:themeFillTint="32"/>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变化量（t/a）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vMerge w:val="restart"/>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废</w:t>
                  </w:r>
                  <w:r>
                    <w:rPr>
                      <w:rFonts w:hint="default" w:ascii="Times New Roman" w:hAnsi="Times New Roman" w:eastAsia="宋体" w:cs="Times New Roman"/>
                      <w:bCs/>
                      <w:color w:val="auto"/>
                      <w:sz w:val="21"/>
                      <w:szCs w:val="21"/>
                      <w:lang w:val="en-US" w:eastAsia="zh-CN"/>
                    </w:rPr>
                    <w:t>水</w:t>
                  </w:r>
                </w:p>
              </w:tc>
              <w:tc>
                <w:tcPr>
                  <w:tcW w:w="513" w:type="pct"/>
                  <w:vMerge w:val="restart"/>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生活废水</w:t>
                  </w:r>
                </w:p>
              </w:tc>
              <w:tc>
                <w:tcPr>
                  <w:tcW w:w="1138" w:type="pct"/>
                  <w:noWrap w:val="0"/>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CODcr</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773"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8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773" w:type="pct"/>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8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p>
                  <w:pPr>
                    <w:rPr>
                      <w:color w:val="auto"/>
                    </w:rPr>
                  </w:pPr>
                </w:p>
                <w:p>
                  <w:pPr>
                    <w:rPr>
                      <w:color w:val="auto"/>
                    </w:rPr>
                  </w:pP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废气</w:t>
                  </w:r>
                </w:p>
              </w:tc>
              <w:tc>
                <w:tcPr>
                  <w:tcW w:w="513" w:type="pct"/>
                  <w:vMerge w:val="restart"/>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工艺废气</w:t>
                  </w:r>
                </w:p>
              </w:tc>
              <w:tc>
                <w:tcPr>
                  <w:tcW w:w="1138" w:type="pct"/>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704"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0.327</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857" w:type="pct"/>
                  <w:noWrap w:val="0"/>
                  <w:vAlign w:val="center"/>
                </w:tcPr>
                <w:p>
                  <w:pPr>
                    <w:widowControl/>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0.107</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VOCs</w:t>
                  </w:r>
                </w:p>
              </w:tc>
              <w:tc>
                <w:tcPr>
                  <w:tcW w:w="704" w:type="pct"/>
                  <w:noWrap w:val="0"/>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1.71</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1.089</w:t>
                  </w:r>
                </w:p>
              </w:tc>
              <w:tc>
                <w:tcPr>
                  <w:tcW w:w="857" w:type="pct"/>
                  <w:noWrap w:val="0"/>
                  <w:vAlign w:val="center"/>
                </w:tcPr>
                <w:p>
                  <w:pPr>
                    <w:widowControl/>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0.621</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固废</w:t>
                  </w:r>
                </w:p>
              </w:tc>
              <w:tc>
                <w:tcPr>
                  <w:tcW w:w="513" w:type="pct"/>
                  <w:vMerge w:val="restart"/>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一般固废</w:t>
                  </w:r>
                </w:p>
              </w:tc>
              <w:tc>
                <w:tcPr>
                  <w:tcW w:w="1138"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清洗</w:t>
                  </w:r>
                  <w:r>
                    <w:rPr>
                      <w:rFonts w:hint="default" w:ascii="Times New Roman" w:hAnsi="Times New Roman" w:eastAsia="宋体" w:cs="Times New Roman"/>
                      <w:color w:val="auto"/>
                      <w:sz w:val="21"/>
                      <w:szCs w:val="21"/>
                      <w:lang w:val="en-US" w:eastAsia="zh-CN"/>
                    </w:rPr>
                    <w:t>沉淀池污泥</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bCs/>
                      <w:color w:val="auto"/>
                      <w:sz w:val="21"/>
                      <w:szCs w:val="21"/>
                      <w:lang w:val="en-US" w:eastAsia="zh-CN"/>
                    </w:rPr>
                    <w:t>90</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bCs/>
                      <w:color w:val="auto"/>
                      <w:sz w:val="21"/>
                      <w:szCs w:val="21"/>
                      <w:lang w:val="en-US" w:eastAsia="zh-CN"/>
                    </w:rPr>
                    <w:t>90</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废包装材料</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0.3</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次品丝</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200</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200</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生活垃圾</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18</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废过滤棉</w:t>
                  </w:r>
                </w:p>
              </w:tc>
              <w:tc>
                <w:tcPr>
                  <w:tcW w:w="704" w:type="pct"/>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0"/>
                      <w:sz w:val="21"/>
                      <w:szCs w:val="21"/>
                      <w:lang w:val="en-US" w:eastAsia="zh-CN" w:bidi="ar-SA"/>
                    </w:rPr>
                  </w:pPr>
                  <w:r>
                    <w:rPr>
                      <w:rFonts w:hint="default" w:ascii="Times New Roman" w:hAnsi="Times New Roman" w:eastAsia="宋体" w:cs="Times New Roman"/>
                      <w:bCs/>
                      <w:color w:val="auto"/>
                      <w:sz w:val="21"/>
                      <w:szCs w:val="21"/>
                    </w:rPr>
                    <w:t>1410m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/a</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7" w:type="pct"/>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0"/>
                      <w:sz w:val="21"/>
                      <w:szCs w:val="21"/>
                      <w:lang w:val="en-US" w:eastAsia="zh-CN" w:bidi="ar-SA"/>
                    </w:rPr>
                  </w:pPr>
                  <w:r>
                    <w:rPr>
                      <w:rFonts w:hint="default" w:ascii="Times New Roman" w:hAnsi="Times New Roman" w:eastAsia="宋体" w:cs="Times New Roman"/>
                      <w:bCs/>
                      <w:color w:val="auto"/>
                      <w:sz w:val="21"/>
                      <w:szCs w:val="21"/>
                    </w:rPr>
                    <w:t>1410m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/a</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除尘灰</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2.67</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1.78</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89</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污水处理污泥</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100</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100</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隔油池污泥</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2.1</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预处理池污泥</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6.2</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restart"/>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r>
                    <w:rPr>
                      <w:rFonts w:ascii="Times New Roman" w:hAnsi="Times New Roman" w:eastAsia="宋体"/>
                      <w:bCs/>
                      <w:color w:val="auto"/>
                      <w:sz w:val="21"/>
                      <w:szCs w:val="21"/>
                    </w:rPr>
                    <w:t>危险废物</w:t>
                  </w:r>
                </w:p>
              </w:tc>
              <w:tc>
                <w:tcPr>
                  <w:tcW w:w="1138"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废过滤网</w:t>
                  </w:r>
                </w:p>
              </w:tc>
              <w:tc>
                <w:tcPr>
                  <w:tcW w:w="704" w:type="pct"/>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0"/>
                      <w:sz w:val="21"/>
                      <w:szCs w:val="21"/>
                      <w:lang w:val="en-US" w:eastAsia="zh-CN" w:bidi="ar-SA"/>
                    </w:rPr>
                  </w:pPr>
                  <w:r>
                    <w:rPr>
                      <w:rFonts w:hint="default" w:ascii="Times New Roman" w:hAnsi="Times New Roman" w:eastAsia="宋体" w:cs="Times New Roman"/>
                      <w:bCs/>
                      <w:color w:val="auto"/>
                      <w:sz w:val="21"/>
                      <w:szCs w:val="21"/>
                    </w:rPr>
                    <w:t>3</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7" w:type="pct"/>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0"/>
                      <w:sz w:val="21"/>
                      <w:szCs w:val="21"/>
                      <w:lang w:val="en-US" w:eastAsia="zh-CN" w:bidi="ar-SA"/>
                    </w:rPr>
                  </w:pPr>
                  <w:r>
                    <w:rPr>
                      <w:rFonts w:hint="default" w:ascii="Times New Roman" w:hAnsi="Times New Roman" w:eastAsia="宋体" w:cs="Times New Roman"/>
                      <w:bCs/>
                      <w:color w:val="auto"/>
                      <w:sz w:val="21"/>
                      <w:szCs w:val="21"/>
                    </w:rPr>
                    <w:t>3</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0"/>
                      <w:sz w:val="21"/>
                      <w:szCs w:val="21"/>
                      <w:lang w:val="en-US" w:eastAsia="zh-CN" w:bidi="ar-SA"/>
                    </w:rPr>
                  </w:pPr>
                  <w:r>
                    <w:rPr>
                      <w:rFonts w:hint="default" w:ascii="Times New Roman" w:hAnsi="Times New Roman" w:eastAsia="宋体" w:cs="Times New Roman"/>
                      <w:color w:val="auto"/>
                      <w:sz w:val="21"/>
                      <w:szCs w:val="21"/>
                    </w:rPr>
                    <w:t>清</w:t>
                  </w:r>
                  <w:r>
                    <w:rPr>
                      <w:rFonts w:hint="default" w:ascii="Times New Roman" w:hAnsi="Times New Roman" w:eastAsia="宋体" w:cs="Times New Roman"/>
                      <w:bCs/>
                      <w:color w:val="auto"/>
                      <w:sz w:val="21"/>
                      <w:szCs w:val="21"/>
                    </w:rPr>
                    <w:t>洗</w:t>
                  </w:r>
                  <w:r>
                    <w:rPr>
                      <w:rFonts w:hint="default" w:ascii="Times New Roman" w:hAnsi="Times New Roman" w:eastAsia="宋体" w:cs="Times New Roman"/>
                      <w:bCs/>
                      <w:color w:val="auto"/>
                      <w:sz w:val="21"/>
                      <w:szCs w:val="21"/>
                      <w:lang w:val="en-US" w:eastAsia="zh-CN"/>
                    </w:rPr>
                    <w:t>沉淀池</w:t>
                  </w:r>
                  <w:r>
                    <w:rPr>
                      <w:rFonts w:hint="default" w:ascii="Times New Roman" w:hAnsi="Times New Roman" w:eastAsia="宋体" w:cs="Times New Roman"/>
                      <w:bCs/>
                      <w:color w:val="auto"/>
                      <w:sz w:val="21"/>
                      <w:szCs w:val="21"/>
                    </w:rPr>
                    <w:t>浮油</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0.43</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0.17</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26</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废UV灯管</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0.008</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0.008</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废油桶</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0.3</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0.3</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513" w:type="pct"/>
                  <w:vMerge w:val="continue"/>
                  <w:noWrap w:val="0"/>
                  <w:vAlign w:val="center"/>
                </w:tcPr>
                <w:p>
                  <w:pPr>
                    <w:pStyle w:val="2"/>
                    <w:adjustRightInd/>
                    <w:spacing w:before="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1138"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废活性炭</w:t>
                  </w:r>
                </w:p>
              </w:tc>
              <w:tc>
                <w:tcPr>
                  <w:tcW w:w="704"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21.87</w:t>
                  </w:r>
                </w:p>
              </w:tc>
              <w:tc>
                <w:tcPr>
                  <w:tcW w:w="77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8.78</w:t>
                  </w:r>
                </w:p>
              </w:tc>
              <w:tc>
                <w:tcPr>
                  <w:tcW w:w="857" w:type="pct"/>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13.09</w:t>
                  </w:r>
                </w:p>
              </w:tc>
              <w:tc>
                <w:tcPr>
                  <w:tcW w:w="5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-8.78</w:t>
                  </w:r>
                </w:p>
              </w:tc>
            </w:tr>
          </w:tbl>
          <w:p>
            <w:pPr>
              <w:autoSpaceDE w:val="0"/>
              <w:autoSpaceDN w:val="0"/>
              <w:adjustRightInd w:val="0"/>
              <w:spacing w:line="360" w:lineRule="auto"/>
              <w:ind w:firstLine="480" w:firstLineChars="200"/>
              <w:rPr>
                <w:rFonts w:hint="default"/>
                <w:b w:val="0"/>
                <w:bCs/>
                <w:color w:val="auto"/>
                <w:sz w:val="24"/>
                <w:szCs w:val="24"/>
                <w:lang w:val="en-US" w:eastAsia="zh-CN"/>
              </w:rPr>
            </w:pPr>
            <w:r>
              <w:rPr>
                <w:rFonts w:hint="eastAsia"/>
                <w:b w:val="0"/>
                <w:bCs/>
                <w:color w:val="auto"/>
                <w:sz w:val="24"/>
                <w:szCs w:val="24"/>
                <w:lang w:val="en-US" w:eastAsia="zh-CN"/>
              </w:rPr>
              <w:t>由上表可知，本次技改后，项目废气排放量减少，生产废水不外排，生活废水少量增加。总体来说，本次技改具有较好的环境正效益。</w:t>
            </w:r>
          </w:p>
          <w:p>
            <w:pPr>
              <w:autoSpaceDE w:val="0"/>
              <w:autoSpaceDN w:val="0"/>
              <w:adjustRightInd w:val="0"/>
              <w:spacing w:line="360" w:lineRule="auto"/>
              <w:ind w:firstLine="482" w:firstLineChars="200"/>
              <w:rPr>
                <w:b/>
                <w:bCs w:val="0"/>
                <w:color w:val="auto"/>
                <w:sz w:val="24"/>
                <w:szCs w:val="24"/>
              </w:rPr>
            </w:pPr>
            <w:r>
              <w:rPr>
                <w:rFonts w:hint="eastAsia"/>
                <w:b/>
                <w:bCs w:val="0"/>
                <w:color w:val="auto"/>
                <w:sz w:val="24"/>
                <w:szCs w:val="24"/>
                <w:lang w:val="en-US" w:eastAsia="zh-CN"/>
              </w:rPr>
              <w:t>8、</w:t>
            </w:r>
            <w:r>
              <w:rPr>
                <w:b/>
                <w:bCs w:val="0"/>
                <w:color w:val="auto"/>
                <w:sz w:val="24"/>
                <w:szCs w:val="24"/>
              </w:rPr>
              <w:t>环境风险</w:t>
            </w:r>
          </w:p>
          <w:p>
            <w:pPr>
              <w:spacing w:line="360" w:lineRule="auto"/>
              <w:ind w:firstLine="480" w:firstLineChars="200"/>
              <w:rPr>
                <w:b/>
                <w:bCs/>
                <w:snapToGrid w:val="0"/>
                <w:color w:val="auto"/>
                <w:kern w:val="0"/>
                <w:sz w:val="24"/>
                <w:szCs w:val="24"/>
              </w:rPr>
            </w:pPr>
            <w:r>
              <w:rPr>
                <w:snapToGrid w:val="0"/>
                <w:color w:val="auto"/>
                <w:sz w:val="24"/>
                <w:szCs w:val="24"/>
              </w:rPr>
              <w:t>环境风险评价的目的是分析和预测建设项目存在的潜在危险、有害因素，建设项目建设和运行期间可能发生的突发事件或事故（一般不包括人为破坏及自然灾害），引起有毒有害、易燃易爆等物质泄露，或突发事件产生的新的有毒有害物质，所造成的对人身安全与环境的影响和损害程度，提出合理可行的防范、应急与减缓措施，以使建设项目事故率、损失和环境影响达到可接受水平。</w:t>
            </w:r>
            <w:r>
              <w:rPr>
                <w:b/>
                <w:bCs/>
                <w:snapToGrid w:val="0"/>
                <w:color w:val="auto"/>
                <w:kern w:val="0"/>
                <w:sz w:val="24"/>
                <w:szCs w:val="24"/>
              </w:rPr>
              <w:t>本项目环境风险评价参照《建设项目环境风险评价技术导则》（HJ169—2018）执行，具体情况如下：</w:t>
            </w:r>
          </w:p>
          <w:p>
            <w:pPr>
              <w:adjustRightInd w:val="0"/>
              <w:snapToGrid w:val="0"/>
              <w:spacing w:line="360" w:lineRule="auto"/>
              <w:ind w:firstLine="482" w:firstLineChars="200"/>
              <w:textAlignment w:val="baseline"/>
              <w:rPr>
                <w:b/>
                <w:bCs/>
                <w:snapToGrid w:val="0"/>
                <w:color w:val="auto"/>
                <w:kern w:val="0"/>
                <w:sz w:val="24"/>
                <w:szCs w:val="24"/>
              </w:rPr>
            </w:pPr>
            <w:r>
              <w:rPr>
                <w:rFonts w:hint="eastAsia"/>
                <w:b/>
                <w:bCs/>
                <w:snapToGrid w:val="0"/>
                <w:color w:val="auto"/>
                <w:kern w:val="0"/>
                <w:sz w:val="24"/>
                <w:szCs w:val="24"/>
                <w:lang w:eastAsia="zh-CN"/>
              </w:rPr>
              <w:t>（</w:t>
            </w:r>
            <w:r>
              <w:rPr>
                <w:rFonts w:hint="eastAsia"/>
                <w:b/>
                <w:bCs/>
                <w:snapToGrid w:val="0"/>
                <w:color w:val="auto"/>
                <w:kern w:val="0"/>
                <w:sz w:val="24"/>
                <w:szCs w:val="24"/>
                <w:lang w:val="en-US" w:eastAsia="zh-CN"/>
              </w:rPr>
              <w:t>1</w:t>
            </w:r>
            <w:r>
              <w:rPr>
                <w:rFonts w:hint="eastAsia"/>
                <w:b/>
                <w:bCs/>
                <w:snapToGrid w:val="0"/>
                <w:color w:val="auto"/>
                <w:kern w:val="0"/>
                <w:sz w:val="24"/>
                <w:szCs w:val="24"/>
                <w:lang w:eastAsia="zh-CN"/>
              </w:rPr>
              <w:t>）</w:t>
            </w:r>
            <w:r>
              <w:rPr>
                <w:b/>
                <w:bCs/>
                <w:snapToGrid w:val="0"/>
                <w:color w:val="auto"/>
                <w:kern w:val="0"/>
                <w:sz w:val="24"/>
                <w:szCs w:val="24"/>
              </w:rPr>
              <w:t>风险调查</w:t>
            </w:r>
          </w:p>
          <w:p>
            <w:pPr>
              <w:adjustRightInd w:val="0"/>
              <w:snapToGrid w:val="0"/>
              <w:spacing w:line="360" w:lineRule="auto"/>
              <w:ind w:firstLine="480" w:firstLineChars="200"/>
              <w:textAlignment w:val="baseline"/>
              <w:rPr>
                <w:snapToGrid w:val="0"/>
                <w:color w:val="auto"/>
                <w:kern w:val="0"/>
                <w:sz w:val="24"/>
                <w:szCs w:val="24"/>
              </w:rPr>
            </w:pPr>
            <w:r>
              <w:rPr>
                <w:snapToGrid w:val="0"/>
                <w:color w:val="auto"/>
                <w:kern w:val="0"/>
                <w:sz w:val="24"/>
                <w:szCs w:val="24"/>
              </w:rPr>
              <w:t>本项目为</w:t>
            </w:r>
            <w:r>
              <w:rPr>
                <w:rFonts w:hint="eastAsia"/>
                <w:snapToGrid w:val="0"/>
                <w:color w:val="auto"/>
                <w:kern w:val="0"/>
                <w:sz w:val="24"/>
                <w:szCs w:val="24"/>
              </w:rPr>
              <w:t>非金属废料和碎屑加工处理项目</w:t>
            </w:r>
            <w:r>
              <w:rPr>
                <w:snapToGrid w:val="0"/>
                <w:color w:val="auto"/>
                <w:kern w:val="0"/>
                <w:sz w:val="24"/>
                <w:szCs w:val="24"/>
              </w:rPr>
              <w:t>，在生产过程中会使用的</w:t>
            </w:r>
            <w:r>
              <w:rPr>
                <w:rFonts w:hint="eastAsia"/>
                <w:snapToGrid w:val="0"/>
                <w:color w:val="auto"/>
                <w:kern w:val="0"/>
                <w:sz w:val="24"/>
                <w:szCs w:val="24"/>
                <w:lang w:eastAsia="zh-CN"/>
              </w:rPr>
              <w:t>机油</w:t>
            </w:r>
            <w:r>
              <w:rPr>
                <w:snapToGrid w:val="0"/>
                <w:color w:val="auto"/>
                <w:kern w:val="0"/>
                <w:sz w:val="24"/>
                <w:szCs w:val="24"/>
              </w:rPr>
              <w:t>主要成分为烃类，属于危险物质，其在厂区内储存量及位置如下表：</w:t>
            </w:r>
          </w:p>
          <w:p>
            <w:pPr>
              <w:snapToGrid w:val="0"/>
              <w:jc w:val="center"/>
              <w:rPr>
                <w:b/>
                <w:bCs/>
                <w:snapToGrid w:val="0"/>
                <w:color w:val="auto"/>
                <w:kern w:val="0"/>
                <w:sz w:val="21"/>
                <w:szCs w:val="21"/>
              </w:rPr>
            </w:pPr>
            <w:r>
              <w:rPr>
                <w:b/>
                <w:bCs/>
                <w:snapToGrid w:val="0"/>
                <w:color w:val="auto"/>
                <w:kern w:val="0"/>
                <w:sz w:val="21"/>
                <w:szCs w:val="21"/>
              </w:rPr>
              <w:t>表4-</w:t>
            </w:r>
            <w:r>
              <w:rPr>
                <w:rFonts w:hint="eastAsia"/>
                <w:b/>
                <w:bCs/>
                <w:snapToGrid w:val="0"/>
                <w:color w:val="auto"/>
                <w:kern w:val="0"/>
                <w:sz w:val="21"/>
                <w:szCs w:val="21"/>
                <w:lang w:val="en-US" w:eastAsia="zh-CN"/>
              </w:rPr>
              <w:t>12</w:t>
            </w:r>
            <w:r>
              <w:rPr>
                <w:b/>
                <w:bCs/>
                <w:snapToGrid w:val="0"/>
                <w:color w:val="auto"/>
                <w:kern w:val="0"/>
                <w:sz w:val="21"/>
                <w:szCs w:val="21"/>
              </w:rPr>
              <w:t xml:space="preserve"> 本项目危险物质储存量及位置一览表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2825"/>
              <w:gridCol w:w="2456"/>
              <w:gridCol w:w="24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514" w:type="pct"/>
                  <w:shd w:val="clear" w:color="auto" w:fill="DCE6F2" w:themeFill="accent1" w:themeFillTint="32"/>
                  <w:noWrap w:val="0"/>
                  <w:vAlign w:val="center"/>
                </w:tcPr>
                <w:p>
                  <w:pPr>
                    <w:snapToGrid w:val="0"/>
                    <w:jc w:val="center"/>
                    <w:rPr>
                      <w:b/>
                      <w:bCs/>
                      <w:snapToGrid w:val="0"/>
                      <w:color w:val="auto"/>
                      <w:kern w:val="0"/>
                      <w:sz w:val="21"/>
                      <w:szCs w:val="21"/>
                    </w:rPr>
                  </w:pPr>
                  <w:r>
                    <w:rPr>
                      <w:b/>
                      <w:bCs/>
                      <w:snapToGrid w:val="0"/>
                      <w:color w:val="auto"/>
                      <w:kern w:val="0"/>
                      <w:sz w:val="21"/>
                      <w:szCs w:val="21"/>
                    </w:rPr>
                    <w:t>序号</w:t>
                  </w:r>
                </w:p>
              </w:tc>
              <w:tc>
                <w:tcPr>
                  <w:tcW w:w="1645" w:type="pct"/>
                  <w:shd w:val="clear" w:color="auto" w:fill="DCE6F2" w:themeFill="accent1" w:themeFillTint="32"/>
                  <w:noWrap w:val="0"/>
                  <w:vAlign w:val="center"/>
                </w:tcPr>
                <w:p>
                  <w:pPr>
                    <w:snapToGrid w:val="0"/>
                    <w:jc w:val="center"/>
                    <w:rPr>
                      <w:b/>
                      <w:bCs/>
                      <w:snapToGrid w:val="0"/>
                      <w:color w:val="auto"/>
                      <w:kern w:val="0"/>
                      <w:sz w:val="21"/>
                      <w:szCs w:val="21"/>
                    </w:rPr>
                  </w:pPr>
                  <w:r>
                    <w:rPr>
                      <w:b/>
                      <w:bCs/>
                      <w:snapToGrid w:val="0"/>
                      <w:color w:val="auto"/>
                      <w:kern w:val="0"/>
                      <w:sz w:val="21"/>
                      <w:szCs w:val="21"/>
                    </w:rPr>
                    <w:t>危险物质</w:t>
                  </w:r>
                </w:p>
              </w:tc>
              <w:tc>
                <w:tcPr>
                  <w:tcW w:w="1430" w:type="pct"/>
                  <w:shd w:val="clear" w:color="auto" w:fill="DCE6F2" w:themeFill="accent1" w:themeFillTint="32"/>
                  <w:noWrap w:val="0"/>
                  <w:vAlign w:val="center"/>
                </w:tcPr>
                <w:p>
                  <w:pPr>
                    <w:snapToGrid w:val="0"/>
                    <w:jc w:val="center"/>
                    <w:rPr>
                      <w:b/>
                      <w:bCs/>
                      <w:snapToGrid w:val="0"/>
                      <w:color w:val="auto"/>
                      <w:kern w:val="0"/>
                      <w:sz w:val="21"/>
                      <w:szCs w:val="21"/>
                    </w:rPr>
                  </w:pPr>
                  <w:r>
                    <w:rPr>
                      <w:b/>
                      <w:bCs/>
                      <w:snapToGrid w:val="0"/>
                      <w:color w:val="auto"/>
                      <w:kern w:val="0"/>
                      <w:sz w:val="21"/>
                      <w:szCs w:val="21"/>
                    </w:rPr>
                    <w:t>厂区内最大储存量</w:t>
                  </w:r>
                </w:p>
              </w:tc>
              <w:tc>
                <w:tcPr>
                  <w:tcW w:w="1409" w:type="pct"/>
                  <w:shd w:val="clear" w:color="auto" w:fill="DCE6F2" w:themeFill="accent1" w:themeFillTint="32"/>
                  <w:noWrap w:val="0"/>
                  <w:vAlign w:val="center"/>
                </w:tcPr>
                <w:p>
                  <w:pPr>
                    <w:snapToGrid w:val="0"/>
                    <w:jc w:val="center"/>
                    <w:rPr>
                      <w:b/>
                      <w:bCs/>
                      <w:snapToGrid w:val="0"/>
                      <w:color w:val="auto"/>
                      <w:kern w:val="0"/>
                      <w:sz w:val="21"/>
                      <w:szCs w:val="21"/>
                    </w:rPr>
                  </w:pPr>
                  <w:r>
                    <w:rPr>
                      <w:b/>
                      <w:bCs/>
                      <w:snapToGrid w:val="0"/>
                      <w:color w:val="auto"/>
                      <w:kern w:val="0"/>
                      <w:sz w:val="21"/>
                      <w:szCs w:val="21"/>
                    </w:rPr>
                    <w:t>储存位置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14" w:type="pct"/>
                  <w:noWrap w:val="0"/>
                  <w:vAlign w:val="center"/>
                </w:tcPr>
                <w:p>
                  <w:pPr>
                    <w:snapToGrid w:val="0"/>
                    <w:jc w:val="center"/>
                    <w:rPr>
                      <w:snapToGrid w:val="0"/>
                      <w:color w:val="auto"/>
                      <w:kern w:val="0"/>
                      <w:sz w:val="21"/>
                      <w:szCs w:val="21"/>
                    </w:rPr>
                  </w:pPr>
                  <w:r>
                    <w:rPr>
                      <w:snapToGrid w:val="0"/>
                      <w:color w:val="auto"/>
                      <w:kern w:val="0"/>
                      <w:sz w:val="21"/>
                      <w:szCs w:val="21"/>
                    </w:rPr>
                    <w:t>1</w:t>
                  </w:r>
                </w:p>
              </w:tc>
              <w:tc>
                <w:tcPr>
                  <w:tcW w:w="1645" w:type="pct"/>
                  <w:noWrap w:val="0"/>
                  <w:vAlign w:val="center"/>
                </w:tcPr>
                <w:p>
                  <w:pPr>
                    <w:snapToGrid w:val="0"/>
                    <w:jc w:val="center"/>
                    <w:rPr>
                      <w:rFonts w:hint="eastAsia" w:eastAsia="宋体"/>
                      <w:snapToGrid w:val="0"/>
                      <w:color w:val="auto"/>
                      <w:kern w:val="0"/>
                      <w:sz w:val="21"/>
                      <w:szCs w:val="21"/>
                      <w:lang w:eastAsia="zh-CN"/>
                    </w:rPr>
                  </w:pPr>
                  <w:r>
                    <w:rPr>
                      <w:rFonts w:hint="eastAsia"/>
                      <w:snapToGrid w:val="0"/>
                      <w:color w:val="auto"/>
                      <w:kern w:val="0"/>
                      <w:sz w:val="21"/>
                      <w:szCs w:val="21"/>
                      <w:lang w:eastAsia="zh-CN"/>
                    </w:rPr>
                    <w:t>机油</w:t>
                  </w:r>
                </w:p>
              </w:tc>
              <w:tc>
                <w:tcPr>
                  <w:tcW w:w="1430" w:type="pct"/>
                  <w:noWrap w:val="0"/>
                  <w:vAlign w:val="center"/>
                </w:tcPr>
                <w:p>
                  <w:pPr>
                    <w:snapToGrid w:val="0"/>
                    <w:jc w:val="center"/>
                    <w:rPr>
                      <w:snapToGrid w:val="0"/>
                      <w:color w:val="auto"/>
                      <w:kern w:val="0"/>
                      <w:sz w:val="21"/>
                      <w:szCs w:val="21"/>
                    </w:rPr>
                  </w:pPr>
                  <w:r>
                    <w:rPr>
                      <w:rFonts w:hint="eastAsia"/>
                      <w:snapToGrid w:val="0"/>
                      <w:color w:val="auto"/>
                      <w:kern w:val="0"/>
                      <w:sz w:val="21"/>
                      <w:szCs w:val="21"/>
                      <w:lang w:val="en-US" w:eastAsia="zh-CN"/>
                    </w:rPr>
                    <w:t>4</w:t>
                  </w:r>
                  <w:r>
                    <w:rPr>
                      <w:snapToGrid w:val="0"/>
                      <w:color w:val="auto"/>
                      <w:kern w:val="0"/>
                      <w:sz w:val="21"/>
                      <w:szCs w:val="21"/>
                    </w:rPr>
                    <w:t>00kg</w:t>
                  </w:r>
                </w:p>
              </w:tc>
              <w:tc>
                <w:tcPr>
                  <w:tcW w:w="1409" w:type="pct"/>
                  <w:noWrap w:val="0"/>
                  <w:vAlign w:val="center"/>
                </w:tcPr>
                <w:p>
                  <w:pPr>
                    <w:snapToGrid w:val="0"/>
                    <w:jc w:val="center"/>
                    <w:rPr>
                      <w:snapToGrid w:val="0"/>
                      <w:color w:val="auto"/>
                      <w:kern w:val="0"/>
                      <w:sz w:val="21"/>
                      <w:szCs w:val="21"/>
                    </w:rPr>
                  </w:pPr>
                  <w:r>
                    <w:rPr>
                      <w:snapToGrid w:val="0"/>
                      <w:color w:val="auto"/>
                      <w:kern w:val="0"/>
                      <w:sz w:val="21"/>
                      <w:szCs w:val="21"/>
                    </w:rPr>
                    <w:t>库房</w:t>
                  </w:r>
                </w:p>
              </w:tc>
            </w:tr>
          </w:tbl>
          <w:p>
            <w:pPr>
              <w:adjustRightInd w:val="0"/>
              <w:snapToGrid w:val="0"/>
              <w:spacing w:line="360" w:lineRule="auto"/>
              <w:ind w:firstLine="482" w:firstLineChars="200"/>
              <w:jc w:val="left"/>
              <w:textAlignment w:val="baseline"/>
              <w:rPr>
                <w:b/>
                <w:bCs/>
                <w:snapToGrid w:val="0"/>
                <w:color w:val="auto"/>
                <w:kern w:val="0"/>
                <w:sz w:val="24"/>
                <w:szCs w:val="24"/>
              </w:rPr>
            </w:pPr>
            <w:r>
              <w:rPr>
                <w:rFonts w:hint="eastAsia"/>
                <w:b/>
                <w:bCs/>
                <w:snapToGrid w:val="0"/>
                <w:color w:val="auto"/>
                <w:kern w:val="0"/>
                <w:sz w:val="24"/>
                <w:szCs w:val="24"/>
                <w:lang w:eastAsia="zh-CN"/>
              </w:rPr>
              <w:t>（</w:t>
            </w:r>
            <w:r>
              <w:rPr>
                <w:rFonts w:hint="eastAsia"/>
                <w:b/>
                <w:bCs/>
                <w:snapToGrid w:val="0"/>
                <w:color w:val="auto"/>
                <w:kern w:val="0"/>
                <w:sz w:val="24"/>
                <w:szCs w:val="24"/>
                <w:lang w:val="en-US" w:eastAsia="zh-CN"/>
              </w:rPr>
              <w:t>2</w:t>
            </w:r>
            <w:r>
              <w:rPr>
                <w:rFonts w:hint="eastAsia"/>
                <w:b/>
                <w:bCs/>
                <w:snapToGrid w:val="0"/>
                <w:color w:val="auto"/>
                <w:kern w:val="0"/>
                <w:sz w:val="24"/>
                <w:szCs w:val="24"/>
                <w:lang w:eastAsia="zh-CN"/>
              </w:rPr>
              <w:t>）</w:t>
            </w:r>
            <w:r>
              <w:rPr>
                <w:b/>
                <w:bCs/>
                <w:snapToGrid w:val="0"/>
                <w:color w:val="auto"/>
                <w:kern w:val="0"/>
                <w:sz w:val="24"/>
                <w:szCs w:val="24"/>
              </w:rPr>
              <w:t>环境风险潜势初判</w:t>
            </w:r>
          </w:p>
          <w:p>
            <w:pPr>
              <w:adjustRightInd w:val="0"/>
              <w:snapToGrid w:val="0"/>
              <w:spacing w:line="360" w:lineRule="auto"/>
              <w:ind w:firstLine="480" w:firstLineChars="200"/>
              <w:jc w:val="left"/>
              <w:textAlignment w:val="baseline"/>
              <w:rPr>
                <w:snapToGrid w:val="0"/>
                <w:color w:val="auto"/>
                <w:kern w:val="0"/>
                <w:sz w:val="24"/>
                <w:szCs w:val="24"/>
              </w:rPr>
            </w:pPr>
            <w:r>
              <w:rPr>
                <w:snapToGrid w:val="0"/>
                <w:color w:val="auto"/>
                <w:kern w:val="0"/>
                <w:sz w:val="24"/>
                <w:szCs w:val="24"/>
              </w:rPr>
              <w:t>根据项目特点，本项目环境风险潜势情况如下：</w:t>
            </w:r>
          </w:p>
          <w:p>
            <w:pPr>
              <w:snapToGrid w:val="0"/>
              <w:spacing w:line="360" w:lineRule="auto"/>
              <w:ind w:firstLine="480" w:firstLineChars="200"/>
              <w:rPr>
                <w:snapToGrid w:val="0"/>
                <w:color w:val="auto"/>
                <w:kern w:val="0"/>
                <w:sz w:val="24"/>
                <w:szCs w:val="24"/>
              </w:rPr>
            </w:pPr>
            <w:r>
              <w:rPr>
                <w:snapToGrid w:val="0"/>
                <w:color w:val="auto"/>
                <w:kern w:val="0"/>
                <w:sz w:val="24"/>
                <w:szCs w:val="24"/>
              </w:rPr>
              <w:t>当只涉及一种危险物质时，计算该物质的总量与其临界量比值，即为Q；当存在多种危险物质时，则按下式计算物质总量与其临界量比值（Q）。</w:t>
            </w:r>
          </w:p>
          <w:p>
            <w:pPr>
              <w:keepNext w:val="0"/>
              <w:keepLines w:val="0"/>
              <w:pageBreakBefore w:val="0"/>
              <w:widowControl w:val="0"/>
              <w:kinsoku w:val="0"/>
              <w:wordWrap/>
              <w:overflowPunct w:val="0"/>
              <w:topLinePunct w:val="0"/>
              <w:autoSpaceDE/>
              <w:autoSpaceDN/>
              <w:bidi w:val="0"/>
              <w:adjustRightInd/>
              <w:snapToGrid w:val="0"/>
              <w:spacing w:line="360" w:lineRule="auto"/>
              <w:ind w:firstLine="0" w:firstLineChars="0"/>
              <w:jc w:val="center"/>
              <w:textAlignment w:val="auto"/>
              <w:rPr>
                <w:color w:val="auto"/>
                <w:sz w:val="24"/>
                <w:szCs w:val="24"/>
                <w:lang w:val="fr-FR"/>
              </w:rPr>
            </w:pPr>
            <w:r>
              <w:rPr>
                <w:color w:val="auto"/>
                <w:sz w:val="24"/>
                <w:szCs w:val="24"/>
              </w:rPr>
              <w:t>Q=</w:t>
            </w:r>
            <w:r>
              <w:rPr>
                <w:color w:val="auto"/>
                <w:sz w:val="24"/>
                <w:szCs w:val="24"/>
                <w:lang w:val="fr-FR"/>
              </w:rPr>
              <w:t>q</w:t>
            </w:r>
            <w:r>
              <w:rPr>
                <w:color w:val="auto"/>
                <w:position w:val="-4"/>
                <w:sz w:val="24"/>
                <w:szCs w:val="24"/>
                <w:vertAlign w:val="subscript"/>
                <w:lang w:val="fr-FR"/>
              </w:rPr>
              <w:t>1</w:t>
            </w:r>
            <w:r>
              <w:rPr>
                <w:color w:val="auto"/>
                <w:spacing w:val="-1"/>
                <w:sz w:val="24"/>
                <w:szCs w:val="24"/>
                <w:lang w:val="fr-FR"/>
              </w:rPr>
              <w:t>/</w:t>
            </w:r>
            <w:r>
              <w:rPr>
                <w:color w:val="auto"/>
                <w:sz w:val="24"/>
                <w:szCs w:val="24"/>
                <w:lang w:val="fr-FR"/>
              </w:rPr>
              <w:t>Q</w:t>
            </w:r>
            <w:r>
              <w:rPr>
                <w:color w:val="auto"/>
                <w:position w:val="-4"/>
                <w:sz w:val="24"/>
                <w:szCs w:val="24"/>
                <w:vertAlign w:val="subscript"/>
                <w:lang w:val="fr-FR"/>
              </w:rPr>
              <w:t>1</w:t>
            </w:r>
            <w:r>
              <w:rPr>
                <w:color w:val="auto"/>
                <w:spacing w:val="1"/>
                <w:sz w:val="24"/>
                <w:szCs w:val="24"/>
                <w:lang w:val="fr-FR"/>
              </w:rPr>
              <w:t>+</w:t>
            </w:r>
            <w:r>
              <w:rPr>
                <w:color w:val="auto"/>
                <w:sz w:val="24"/>
                <w:szCs w:val="24"/>
                <w:lang w:val="fr-FR"/>
              </w:rPr>
              <w:t>q</w:t>
            </w:r>
            <w:r>
              <w:rPr>
                <w:color w:val="auto"/>
                <w:position w:val="-4"/>
                <w:sz w:val="24"/>
                <w:szCs w:val="24"/>
                <w:vertAlign w:val="subscript"/>
                <w:lang w:val="fr-FR"/>
              </w:rPr>
              <w:t>2</w:t>
            </w:r>
            <w:r>
              <w:rPr>
                <w:color w:val="auto"/>
                <w:spacing w:val="-1"/>
                <w:sz w:val="24"/>
                <w:szCs w:val="24"/>
                <w:lang w:val="fr-FR"/>
              </w:rPr>
              <w:t>/</w:t>
            </w:r>
            <w:r>
              <w:rPr>
                <w:color w:val="auto"/>
                <w:sz w:val="24"/>
                <w:szCs w:val="24"/>
                <w:lang w:val="fr-FR"/>
              </w:rPr>
              <w:t>Q</w:t>
            </w:r>
            <w:r>
              <w:rPr>
                <w:color w:val="auto"/>
                <w:position w:val="-4"/>
                <w:sz w:val="24"/>
                <w:szCs w:val="24"/>
                <w:vertAlign w:val="subscript"/>
                <w:lang w:val="fr-FR"/>
              </w:rPr>
              <w:t>2</w:t>
            </w:r>
            <w:r>
              <w:rPr>
                <w:color w:val="auto"/>
                <w:spacing w:val="1"/>
                <w:sz w:val="24"/>
                <w:szCs w:val="24"/>
                <w:lang w:val="fr-FR"/>
              </w:rPr>
              <w:t>+</w:t>
            </w:r>
            <w:r>
              <w:rPr>
                <w:color w:val="auto"/>
                <w:sz w:val="24"/>
                <w:szCs w:val="24"/>
                <w:lang w:val="fr-FR"/>
              </w:rPr>
              <w:t>……</w:t>
            </w:r>
            <w:r>
              <w:rPr>
                <w:color w:val="auto"/>
                <w:spacing w:val="1"/>
                <w:sz w:val="24"/>
                <w:szCs w:val="24"/>
                <w:lang w:val="fr-FR"/>
              </w:rPr>
              <w:t>+</w:t>
            </w:r>
            <w:r>
              <w:rPr>
                <w:color w:val="auto"/>
                <w:sz w:val="24"/>
                <w:szCs w:val="24"/>
                <w:lang w:val="fr-FR"/>
              </w:rPr>
              <w:t>q</w:t>
            </w:r>
            <w:r>
              <w:rPr>
                <w:color w:val="auto"/>
                <w:sz w:val="24"/>
                <w:szCs w:val="24"/>
                <w:vertAlign w:val="subscript"/>
              </w:rPr>
              <w:t>n</w:t>
            </w:r>
            <w:r>
              <w:rPr>
                <w:color w:val="auto"/>
                <w:spacing w:val="-1"/>
                <w:sz w:val="24"/>
                <w:szCs w:val="24"/>
                <w:lang w:val="fr-FR"/>
              </w:rPr>
              <w:t>/</w:t>
            </w:r>
            <w:r>
              <w:rPr>
                <w:color w:val="auto"/>
                <w:sz w:val="24"/>
                <w:szCs w:val="24"/>
                <w:lang w:val="fr-FR"/>
              </w:rPr>
              <w:t>Q</w:t>
            </w:r>
            <w:r>
              <w:rPr>
                <w:color w:val="auto"/>
                <w:sz w:val="24"/>
                <w:szCs w:val="24"/>
                <w:vertAlign w:val="subscript"/>
              </w:rPr>
              <w:t>n</w:t>
            </w:r>
          </w:p>
          <w:p>
            <w:pPr>
              <w:kinsoku w:val="0"/>
              <w:overflowPunct w:val="0"/>
              <w:snapToGrid w:val="0"/>
              <w:spacing w:line="360" w:lineRule="auto"/>
              <w:ind w:firstLine="480" w:firstLineChars="200"/>
              <w:rPr>
                <w:color w:val="auto"/>
                <w:kern w:val="0"/>
                <w:sz w:val="24"/>
                <w:szCs w:val="24"/>
              </w:rPr>
            </w:pPr>
            <w:r>
              <w:rPr>
                <w:color w:val="auto"/>
                <w:kern w:val="0"/>
                <w:sz w:val="24"/>
                <w:szCs w:val="24"/>
              </w:rPr>
              <w:t>式中：q 1 ，q 2 ，...，q n ——每种危险物质的最大存在总量，t；</w:t>
            </w:r>
          </w:p>
          <w:p>
            <w:pPr>
              <w:kinsoku w:val="0"/>
              <w:overflowPunct w:val="0"/>
              <w:snapToGrid w:val="0"/>
              <w:spacing w:line="360" w:lineRule="auto"/>
              <w:ind w:firstLine="480" w:firstLineChars="200"/>
              <w:rPr>
                <w:color w:val="auto"/>
                <w:kern w:val="0"/>
                <w:sz w:val="24"/>
                <w:szCs w:val="24"/>
              </w:rPr>
            </w:pPr>
            <w:r>
              <w:rPr>
                <w:color w:val="auto"/>
                <w:kern w:val="0"/>
                <w:sz w:val="24"/>
                <w:szCs w:val="24"/>
              </w:rPr>
              <w:t>Q 1 ， Q 2 ， ...， Q n ——每种危险物质的临界量，t。</w:t>
            </w:r>
          </w:p>
          <w:p>
            <w:pPr>
              <w:kinsoku w:val="0"/>
              <w:overflowPunct w:val="0"/>
              <w:snapToGrid w:val="0"/>
              <w:spacing w:line="360" w:lineRule="auto"/>
              <w:ind w:firstLine="480" w:firstLineChars="200"/>
              <w:rPr>
                <w:color w:val="auto"/>
                <w:kern w:val="0"/>
                <w:sz w:val="24"/>
                <w:szCs w:val="24"/>
              </w:rPr>
            </w:pPr>
            <w:r>
              <w:rPr>
                <w:color w:val="auto"/>
                <w:kern w:val="0"/>
                <w:sz w:val="24"/>
                <w:szCs w:val="24"/>
              </w:rPr>
              <w:t>当Q＜1时，该项目环境风险潜势为Ⅰ；</w:t>
            </w:r>
          </w:p>
          <w:p>
            <w:pPr>
              <w:kinsoku w:val="0"/>
              <w:overflowPunct w:val="0"/>
              <w:snapToGrid w:val="0"/>
              <w:spacing w:line="360" w:lineRule="auto"/>
              <w:ind w:firstLine="480" w:firstLineChars="200"/>
              <w:rPr>
                <w:color w:val="auto"/>
                <w:kern w:val="0"/>
                <w:sz w:val="24"/>
                <w:szCs w:val="24"/>
              </w:rPr>
            </w:pPr>
            <w:r>
              <w:rPr>
                <w:color w:val="auto"/>
                <w:kern w:val="0"/>
                <w:sz w:val="24"/>
                <w:szCs w:val="24"/>
              </w:rPr>
              <w:t>当Q≥1时，将Q值划分为：（1）1≤Q＜10；（2）10≤Q＜100；（3）Q≥100</w:t>
            </w:r>
          </w:p>
          <w:p>
            <w:pPr>
              <w:pStyle w:val="19"/>
              <w:spacing w:after="0" w:line="360" w:lineRule="auto"/>
              <w:ind w:left="0" w:leftChars="0" w:firstLine="482" w:firstLineChars="200"/>
              <w:jc w:val="center"/>
              <w:rPr>
                <w:rFonts w:hint="default" w:ascii="Times New Roman" w:hAnsi="Times New Roman" w:eastAsia="宋体"/>
                <w:color w:val="auto"/>
                <w:kern w:val="0"/>
                <w:sz w:val="24"/>
                <w:szCs w:val="24"/>
                <w:lang w:val="en-US" w:eastAsia="zh-CN"/>
              </w:rPr>
            </w:pPr>
            <w:r>
              <w:rPr>
                <w:rFonts w:ascii="Times New Roman" w:hAnsi="Times New Roman"/>
                <w:b/>
                <w:bCs/>
                <w:color w:val="auto"/>
                <w:kern w:val="0"/>
                <w:sz w:val="24"/>
                <w:szCs w:val="24"/>
              </w:rPr>
              <w:t>Q</w:t>
            </w:r>
            <w:r>
              <w:rPr>
                <w:rFonts w:ascii="Times New Roman" w:hAnsi="Times New Roman"/>
                <w:color w:val="auto"/>
                <w:sz w:val="24"/>
                <w:szCs w:val="24"/>
              </w:rPr>
              <w:t>=</w:t>
            </w:r>
            <w:r>
              <w:rPr>
                <w:rFonts w:ascii="Times New Roman" w:hAnsi="Times New Roman"/>
                <w:color w:val="auto"/>
                <w:sz w:val="24"/>
                <w:szCs w:val="24"/>
                <w:lang w:val="fr-FR"/>
              </w:rPr>
              <w:t>q</w:t>
            </w:r>
            <w:r>
              <w:rPr>
                <w:rFonts w:ascii="Times New Roman" w:hAnsi="Times New Roman"/>
                <w:color w:val="auto"/>
                <w:position w:val="-4"/>
                <w:sz w:val="24"/>
                <w:szCs w:val="24"/>
                <w:vertAlign w:val="subscript"/>
                <w:lang w:val="fr-FR"/>
              </w:rPr>
              <w:t>1</w:t>
            </w:r>
            <w:r>
              <w:rPr>
                <w:rFonts w:ascii="Times New Roman" w:hAnsi="Times New Roman"/>
                <w:color w:val="auto"/>
                <w:spacing w:val="-1"/>
                <w:sz w:val="24"/>
                <w:szCs w:val="24"/>
                <w:lang w:val="fr-FR"/>
              </w:rPr>
              <w:t>/</w:t>
            </w:r>
            <w:r>
              <w:rPr>
                <w:rFonts w:ascii="Times New Roman" w:hAnsi="Times New Roman"/>
                <w:color w:val="auto"/>
                <w:sz w:val="24"/>
                <w:szCs w:val="24"/>
                <w:lang w:val="fr-FR"/>
              </w:rPr>
              <w:t>Q</w:t>
            </w:r>
            <w:r>
              <w:rPr>
                <w:rFonts w:ascii="Times New Roman" w:hAnsi="Times New Roman"/>
                <w:color w:val="auto"/>
                <w:position w:val="-4"/>
                <w:sz w:val="24"/>
                <w:szCs w:val="24"/>
                <w:vertAlign w:val="subscript"/>
                <w:lang w:val="fr-FR"/>
              </w:rPr>
              <w:t>1</w:t>
            </w:r>
            <w:r>
              <w:rPr>
                <w:rFonts w:ascii="Times New Roman" w:hAnsi="Times New Roman"/>
                <w:color w:val="auto"/>
                <w:kern w:val="0"/>
                <w:sz w:val="24"/>
                <w:szCs w:val="24"/>
              </w:rPr>
              <w:t>=</w:t>
            </w:r>
            <w:r>
              <w:rPr>
                <w:rFonts w:hint="eastAsia" w:ascii="Times New Roman" w:hAnsi="Times New Roman"/>
                <w:color w:val="auto"/>
                <w:kern w:val="0"/>
                <w:sz w:val="24"/>
                <w:szCs w:val="24"/>
              </w:rPr>
              <w:t>0.</w:t>
            </w:r>
            <w:r>
              <w:rPr>
                <w:rFonts w:hint="eastAsia" w:ascii="Times New Roman" w:hAnsi="Times New Roman"/>
                <w:color w:val="auto"/>
                <w:kern w:val="0"/>
                <w:sz w:val="24"/>
                <w:szCs w:val="24"/>
                <w:lang w:val="en-US" w:eastAsia="zh-CN"/>
              </w:rPr>
              <w:t>4</w:t>
            </w:r>
            <w:r>
              <w:rPr>
                <w:rFonts w:hint="eastAsia" w:ascii="Times New Roman" w:hAnsi="Times New Roman"/>
                <w:color w:val="auto"/>
                <w:kern w:val="0"/>
                <w:sz w:val="24"/>
                <w:szCs w:val="24"/>
              </w:rPr>
              <w:t>/2500=0.0</w:t>
            </w:r>
            <w:r>
              <w:rPr>
                <w:rFonts w:hint="eastAsia" w:ascii="Times New Roman" w:hAnsi="Times New Roman"/>
                <w:color w:val="auto"/>
                <w:kern w:val="0"/>
                <w:sz w:val="24"/>
                <w:szCs w:val="24"/>
                <w:lang w:val="en-US" w:eastAsia="zh-CN"/>
              </w:rPr>
              <w:t>0016</w:t>
            </w:r>
          </w:p>
          <w:p>
            <w:pPr>
              <w:kinsoku w:val="0"/>
              <w:overflowPunct w:val="0"/>
              <w:snapToGrid w:val="0"/>
              <w:spacing w:line="360" w:lineRule="auto"/>
              <w:ind w:firstLine="482" w:firstLineChars="200"/>
              <w:rPr>
                <w:b/>
                <w:bCs/>
                <w:snapToGrid w:val="0"/>
                <w:color w:val="auto"/>
                <w:kern w:val="0"/>
                <w:sz w:val="24"/>
                <w:szCs w:val="24"/>
              </w:rPr>
            </w:pPr>
            <w:r>
              <w:rPr>
                <w:b/>
                <w:bCs/>
                <w:color w:val="auto"/>
                <w:kern w:val="0"/>
                <w:sz w:val="24"/>
                <w:szCs w:val="24"/>
              </w:rPr>
              <w:t>经计算，本项目Q</w:t>
            </w:r>
            <w:r>
              <w:rPr>
                <w:b/>
                <w:bCs/>
                <w:color w:val="auto"/>
                <w:spacing w:val="1"/>
                <w:kern w:val="0"/>
                <w:sz w:val="24"/>
                <w:szCs w:val="24"/>
              </w:rPr>
              <w:t>=0.0</w:t>
            </w:r>
            <w:r>
              <w:rPr>
                <w:rFonts w:hint="eastAsia"/>
                <w:b/>
                <w:bCs/>
                <w:color w:val="auto"/>
                <w:spacing w:val="1"/>
                <w:kern w:val="0"/>
                <w:sz w:val="24"/>
                <w:szCs w:val="24"/>
              </w:rPr>
              <w:t>00</w:t>
            </w:r>
            <w:r>
              <w:rPr>
                <w:rFonts w:hint="eastAsia"/>
                <w:b/>
                <w:bCs/>
                <w:color w:val="auto"/>
                <w:spacing w:val="1"/>
                <w:kern w:val="0"/>
                <w:sz w:val="24"/>
                <w:szCs w:val="24"/>
                <w:lang w:val="en-US" w:eastAsia="zh-CN"/>
              </w:rPr>
              <w:t>16</w:t>
            </w:r>
            <w:r>
              <w:rPr>
                <w:b/>
                <w:bCs/>
                <w:color w:val="auto"/>
                <w:spacing w:val="1"/>
                <w:kern w:val="0"/>
                <w:sz w:val="24"/>
                <w:szCs w:val="24"/>
              </w:rPr>
              <w:t>＜1，即本项目</w:t>
            </w:r>
            <w:r>
              <w:rPr>
                <w:b/>
                <w:bCs/>
                <w:color w:val="auto"/>
                <w:kern w:val="0"/>
                <w:sz w:val="24"/>
                <w:szCs w:val="24"/>
              </w:rPr>
              <w:t>环境风险潜势为Ⅰ</w:t>
            </w:r>
            <w:r>
              <w:rPr>
                <w:b/>
                <w:bCs/>
                <w:color w:val="auto"/>
                <w:spacing w:val="1"/>
                <w:kern w:val="0"/>
                <w:sz w:val="24"/>
                <w:szCs w:val="24"/>
              </w:rPr>
              <w:t>。</w:t>
            </w:r>
          </w:p>
          <w:p>
            <w:pPr>
              <w:spacing w:line="360" w:lineRule="auto"/>
              <w:ind w:firstLine="482" w:firstLineChars="200"/>
              <w:rPr>
                <w:b/>
                <w:color w:val="auto"/>
                <w:sz w:val="24"/>
                <w:szCs w:val="24"/>
              </w:rPr>
            </w:pPr>
            <w:r>
              <w:rPr>
                <w:rFonts w:hint="eastAsia"/>
                <w:b/>
                <w:color w:val="auto"/>
                <w:sz w:val="24"/>
                <w:szCs w:val="24"/>
                <w:lang w:eastAsia="zh-CN"/>
              </w:rPr>
              <w:t>（</w:t>
            </w:r>
            <w:r>
              <w:rPr>
                <w:rFonts w:hint="eastAsia"/>
                <w:b/>
                <w:color w:val="auto"/>
                <w:sz w:val="24"/>
                <w:szCs w:val="24"/>
                <w:lang w:val="en-US" w:eastAsia="zh-CN"/>
              </w:rPr>
              <w:t>3</w:t>
            </w:r>
            <w:r>
              <w:rPr>
                <w:rFonts w:hint="eastAsia"/>
                <w:b/>
                <w:color w:val="auto"/>
                <w:sz w:val="24"/>
                <w:szCs w:val="24"/>
                <w:lang w:eastAsia="zh-CN"/>
              </w:rPr>
              <w:t>）</w:t>
            </w:r>
            <w:r>
              <w:rPr>
                <w:b/>
                <w:color w:val="auto"/>
                <w:sz w:val="24"/>
                <w:szCs w:val="24"/>
              </w:rPr>
              <w:t>风险评价等级及范围</w:t>
            </w:r>
          </w:p>
          <w:p>
            <w:pPr>
              <w:spacing w:line="360" w:lineRule="auto"/>
              <w:ind w:firstLine="480" w:firstLineChars="200"/>
              <w:rPr>
                <w:color w:val="auto"/>
                <w:sz w:val="24"/>
                <w:szCs w:val="24"/>
              </w:rPr>
            </w:pPr>
            <w:r>
              <w:rPr>
                <w:color w:val="auto"/>
                <w:sz w:val="24"/>
                <w:szCs w:val="24"/>
              </w:rPr>
              <w:t>根据</w:t>
            </w:r>
            <w:r>
              <w:rPr>
                <w:snapToGrid w:val="0"/>
                <w:color w:val="auto"/>
                <w:sz w:val="24"/>
                <w:szCs w:val="24"/>
              </w:rPr>
              <w:t>《建设项目环境风险评价技术导则》（HJ169—2018）</w:t>
            </w:r>
            <w:r>
              <w:rPr>
                <w:color w:val="auto"/>
                <w:sz w:val="24"/>
                <w:szCs w:val="24"/>
              </w:rPr>
              <w:t>风险评价分级，本项目环境风险潜势为</w:t>
            </w:r>
            <w:r>
              <w:rPr>
                <w:snapToGrid w:val="0"/>
                <w:color w:val="auto"/>
                <w:sz w:val="24"/>
                <w:szCs w:val="24"/>
              </w:rPr>
              <w:t>Ⅰ</w:t>
            </w:r>
            <w:r>
              <w:rPr>
                <w:snapToGrid w:val="0"/>
                <w:color w:val="auto"/>
                <w:sz w:val="24"/>
                <w:szCs w:val="24"/>
                <w:vertAlign w:val="superscript"/>
              </w:rPr>
              <w:t>a</w:t>
            </w:r>
            <w:r>
              <w:rPr>
                <w:color w:val="auto"/>
                <w:sz w:val="24"/>
                <w:szCs w:val="24"/>
              </w:rPr>
              <w:t>。环境风险评价工作级别划分依据见下表。</w:t>
            </w:r>
          </w:p>
          <w:p>
            <w:pPr>
              <w:jc w:val="center"/>
              <w:rPr>
                <w:b/>
                <w:color w:val="auto"/>
                <w:sz w:val="21"/>
                <w:szCs w:val="21"/>
              </w:rPr>
            </w:pPr>
          </w:p>
          <w:p>
            <w:pPr>
              <w:jc w:val="center"/>
              <w:rPr>
                <w:b/>
                <w:color w:val="auto"/>
                <w:sz w:val="21"/>
                <w:szCs w:val="21"/>
              </w:rPr>
            </w:pPr>
          </w:p>
          <w:p>
            <w:pPr>
              <w:jc w:val="center"/>
              <w:rPr>
                <w:b/>
                <w:color w:val="auto"/>
                <w:sz w:val="21"/>
                <w:szCs w:val="21"/>
              </w:rPr>
            </w:pPr>
            <w:r>
              <w:rPr>
                <w:b/>
                <w:color w:val="auto"/>
                <w:sz w:val="21"/>
                <w:szCs w:val="21"/>
              </w:rPr>
              <w:t>表4-</w:t>
            </w:r>
            <w:r>
              <w:rPr>
                <w:rFonts w:hint="eastAsia"/>
                <w:b/>
                <w:color w:val="auto"/>
                <w:sz w:val="21"/>
                <w:szCs w:val="21"/>
                <w:lang w:val="en-US" w:eastAsia="zh-CN"/>
              </w:rPr>
              <w:t>14</w:t>
            </w:r>
            <w:r>
              <w:rPr>
                <w:b/>
                <w:color w:val="auto"/>
                <w:sz w:val="21"/>
                <w:szCs w:val="21"/>
              </w:rPr>
              <w:t xml:space="preserve"> 评价工作级别划分表</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1719"/>
              <w:gridCol w:w="1985"/>
              <w:gridCol w:w="1666"/>
              <w:gridCol w:w="1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612" w:type="dxa"/>
                  <w:shd w:val="clear" w:color="auto" w:fill="DCE6F2" w:themeFill="accent1" w:themeFillTint="32"/>
                  <w:noWrap w:val="0"/>
                  <w:vAlign w:val="center"/>
                </w:tcPr>
                <w:p>
                  <w:pPr>
                    <w:widowControl/>
                    <w:jc w:val="center"/>
                    <w:rPr>
                      <w:b/>
                      <w:bCs/>
                      <w:color w:val="auto"/>
                      <w:kern w:val="0"/>
                      <w:sz w:val="21"/>
                      <w:szCs w:val="21"/>
                    </w:rPr>
                  </w:pPr>
                  <w:r>
                    <w:rPr>
                      <w:b/>
                      <w:bCs/>
                      <w:color w:val="auto"/>
                      <w:kern w:val="0"/>
                      <w:sz w:val="21"/>
                      <w:szCs w:val="21"/>
                    </w:rPr>
                    <w:t>环境风险潜势</w:t>
                  </w:r>
                </w:p>
              </w:tc>
              <w:tc>
                <w:tcPr>
                  <w:tcW w:w="1802" w:type="dxa"/>
                  <w:shd w:val="clear" w:color="auto" w:fill="DCE6F2" w:themeFill="accent1" w:themeFillTint="32"/>
                  <w:noWrap w:val="0"/>
                  <w:vAlign w:val="center"/>
                </w:tcPr>
                <w:p>
                  <w:pPr>
                    <w:widowControl/>
                    <w:jc w:val="center"/>
                    <w:rPr>
                      <w:b/>
                      <w:bCs/>
                      <w:color w:val="auto"/>
                      <w:kern w:val="0"/>
                      <w:sz w:val="21"/>
                      <w:szCs w:val="21"/>
                    </w:rPr>
                  </w:pPr>
                  <w:r>
                    <w:rPr>
                      <w:snapToGrid w:val="0"/>
                      <w:color w:val="auto"/>
                      <w:sz w:val="21"/>
                      <w:szCs w:val="21"/>
                    </w:rPr>
                    <w:t>Ⅳ、Ⅳ</w:t>
                  </w:r>
                  <w:r>
                    <w:rPr>
                      <w:snapToGrid w:val="0"/>
                      <w:color w:val="auto"/>
                      <w:sz w:val="21"/>
                      <w:szCs w:val="21"/>
                      <w:vertAlign w:val="superscript"/>
                    </w:rPr>
                    <w:t>+</w:t>
                  </w:r>
                </w:p>
              </w:tc>
              <w:tc>
                <w:tcPr>
                  <w:tcW w:w="2106" w:type="dxa"/>
                  <w:shd w:val="clear" w:color="auto" w:fill="DCE6F2" w:themeFill="accent1" w:themeFillTint="32"/>
                  <w:noWrap w:val="0"/>
                  <w:vAlign w:val="center"/>
                </w:tcPr>
                <w:p>
                  <w:pPr>
                    <w:snapToGrid w:val="0"/>
                    <w:jc w:val="center"/>
                    <w:rPr>
                      <w:b/>
                      <w:bCs/>
                      <w:color w:val="auto"/>
                      <w:kern w:val="0"/>
                      <w:sz w:val="21"/>
                      <w:szCs w:val="21"/>
                    </w:rPr>
                  </w:pPr>
                  <w:r>
                    <w:rPr>
                      <w:snapToGrid w:val="0"/>
                      <w:color w:val="auto"/>
                      <w:kern w:val="0"/>
                      <w:sz w:val="21"/>
                      <w:szCs w:val="21"/>
                    </w:rPr>
                    <w:t>Ⅲ</w:t>
                  </w:r>
                </w:p>
              </w:tc>
              <w:tc>
                <w:tcPr>
                  <w:tcW w:w="1762" w:type="dxa"/>
                  <w:shd w:val="clear" w:color="auto" w:fill="DCE6F2" w:themeFill="accent1" w:themeFillTint="32"/>
                  <w:noWrap w:val="0"/>
                  <w:vAlign w:val="center"/>
                </w:tcPr>
                <w:p>
                  <w:pPr>
                    <w:snapToGrid w:val="0"/>
                    <w:jc w:val="center"/>
                    <w:rPr>
                      <w:b/>
                      <w:bCs/>
                      <w:color w:val="auto"/>
                      <w:kern w:val="0"/>
                      <w:sz w:val="21"/>
                      <w:szCs w:val="21"/>
                    </w:rPr>
                  </w:pPr>
                  <w:r>
                    <w:rPr>
                      <w:snapToGrid w:val="0"/>
                      <w:color w:val="auto"/>
                      <w:kern w:val="0"/>
                      <w:sz w:val="21"/>
                      <w:szCs w:val="21"/>
                    </w:rPr>
                    <w:t>Ⅱ</w:t>
                  </w:r>
                </w:p>
              </w:tc>
              <w:tc>
                <w:tcPr>
                  <w:tcW w:w="1789" w:type="dxa"/>
                  <w:shd w:val="clear" w:color="auto" w:fill="DCE6F2" w:themeFill="accent1" w:themeFillTint="32"/>
                  <w:noWrap w:val="0"/>
                  <w:vAlign w:val="center"/>
                </w:tcPr>
                <w:p>
                  <w:pPr>
                    <w:snapToGrid w:val="0"/>
                    <w:jc w:val="center"/>
                    <w:rPr>
                      <w:b/>
                      <w:bCs/>
                      <w:color w:val="auto"/>
                      <w:kern w:val="0"/>
                      <w:sz w:val="21"/>
                      <w:szCs w:val="21"/>
                    </w:rPr>
                  </w:pPr>
                  <w:r>
                    <w:rPr>
                      <w:snapToGrid w:val="0"/>
                      <w:color w:val="auto"/>
                      <w:kern w:val="0"/>
                      <w:sz w:val="21"/>
                      <w:szCs w:val="21"/>
                    </w:rPr>
                    <w:t>Ⅰ</w:t>
                  </w:r>
                  <w:r>
                    <w:rPr>
                      <w:snapToGrid w:val="0"/>
                      <w:color w:val="auto"/>
                      <w:kern w:val="0"/>
                      <w:sz w:val="21"/>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2" w:type="dxa"/>
                  <w:shd w:val="clear" w:color="auto" w:fill="auto"/>
                  <w:noWrap w:val="0"/>
                  <w:vAlign w:val="center"/>
                </w:tcPr>
                <w:p>
                  <w:pPr>
                    <w:widowControl/>
                    <w:jc w:val="center"/>
                    <w:rPr>
                      <w:color w:val="auto"/>
                      <w:kern w:val="0"/>
                      <w:sz w:val="21"/>
                      <w:szCs w:val="21"/>
                    </w:rPr>
                  </w:pPr>
                  <w:r>
                    <w:rPr>
                      <w:color w:val="auto"/>
                      <w:kern w:val="0"/>
                      <w:sz w:val="21"/>
                      <w:szCs w:val="21"/>
                    </w:rPr>
                    <w:t>评价工作等级</w:t>
                  </w:r>
                </w:p>
              </w:tc>
              <w:tc>
                <w:tcPr>
                  <w:tcW w:w="1802" w:type="dxa"/>
                  <w:shd w:val="clear" w:color="auto" w:fill="auto"/>
                  <w:noWrap w:val="0"/>
                  <w:vAlign w:val="center"/>
                </w:tcPr>
                <w:p>
                  <w:pPr>
                    <w:widowControl/>
                    <w:jc w:val="center"/>
                    <w:rPr>
                      <w:color w:val="auto"/>
                      <w:kern w:val="0"/>
                      <w:sz w:val="21"/>
                      <w:szCs w:val="21"/>
                    </w:rPr>
                  </w:pPr>
                  <w:r>
                    <w:rPr>
                      <w:color w:val="auto"/>
                      <w:kern w:val="0"/>
                      <w:sz w:val="21"/>
                      <w:szCs w:val="21"/>
                    </w:rPr>
                    <w:t>一</w:t>
                  </w:r>
                </w:p>
              </w:tc>
              <w:tc>
                <w:tcPr>
                  <w:tcW w:w="2106" w:type="dxa"/>
                  <w:shd w:val="clear" w:color="auto" w:fill="auto"/>
                  <w:noWrap w:val="0"/>
                  <w:vAlign w:val="center"/>
                </w:tcPr>
                <w:p>
                  <w:pPr>
                    <w:widowControl/>
                    <w:jc w:val="center"/>
                    <w:rPr>
                      <w:color w:val="auto"/>
                      <w:kern w:val="0"/>
                      <w:sz w:val="21"/>
                      <w:szCs w:val="21"/>
                    </w:rPr>
                  </w:pPr>
                  <w:r>
                    <w:rPr>
                      <w:color w:val="auto"/>
                      <w:kern w:val="0"/>
                      <w:sz w:val="21"/>
                      <w:szCs w:val="21"/>
                    </w:rPr>
                    <w:t>二</w:t>
                  </w:r>
                </w:p>
              </w:tc>
              <w:tc>
                <w:tcPr>
                  <w:tcW w:w="1762" w:type="dxa"/>
                  <w:shd w:val="clear" w:color="auto" w:fill="auto"/>
                  <w:noWrap w:val="0"/>
                  <w:vAlign w:val="center"/>
                </w:tcPr>
                <w:p>
                  <w:pPr>
                    <w:widowControl/>
                    <w:jc w:val="center"/>
                    <w:rPr>
                      <w:color w:val="auto"/>
                      <w:kern w:val="0"/>
                      <w:sz w:val="21"/>
                      <w:szCs w:val="21"/>
                    </w:rPr>
                  </w:pPr>
                  <w:r>
                    <w:rPr>
                      <w:color w:val="auto"/>
                      <w:kern w:val="0"/>
                      <w:sz w:val="21"/>
                      <w:szCs w:val="21"/>
                    </w:rPr>
                    <w:t>三</w:t>
                  </w:r>
                </w:p>
              </w:tc>
              <w:tc>
                <w:tcPr>
                  <w:tcW w:w="1789" w:type="dxa"/>
                  <w:shd w:val="clear" w:color="auto" w:fill="D7D7D7"/>
                  <w:noWrap w:val="0"/>
                  <w:vAlign w:val="center"/>
                </w:tcPr>
                <w:p>
                  <w:pPr>
                    <w:widowControl/>
                    <w:jc w:val="center"/>
                    <w:rPr>
                      <w:color w:val="auto"/>
                      <w:kern w:val="0"/>
                      <w:sz w:val="21"/>
                      <w:szCs w:val="21"/>
                    </w:rPr>
                  </w:pPr>
                  <w:r>
                    <w:rPr>
                      <w:color w:val="auto"/>
                      <w:kern w:val="0"/>
                      <w:sz w:val="21"/>
                      <w:szCs w:val="21"/>
                    </w:rPr>
                    <w:t>简单分析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71" w:type="dxa"/>
                  <w:gridSpan w:val="5"/>
                  <w:noWrap w:val="0"/>
                  <w:vAlign w:val="center"/>
                </w:tcPr>
                <w:p>
                  <w:pPr>
                    <w:widowControl/>
                    <w:rPr>
                      <w:color w:val="auto"/>
                      <w:kern w:val="0"/>
                      <w:sz w:val="21"/>
                      <w:szCs w:val="21"/>
                    </w:rPr>
                  </w:pPr>
                  <w:r>
                    <w:rPr>
                      <w:snapToGrid w:val="0"/>
                      <w:color w:val="auto"/>
                      <w:sz w:val="21"/>
                      <w:szCs w:val="21"/>
                      <w:vertAlign w:val="superscript"/>
                    </w:rPr>
                    <w:t>a</w:t>
                  </w:r>
                  <w:r>
                    <w:rPr>
                      <w:color w:val="auto"/>
                      <w:kern w:val="0"/>
                      <w:sz w:val="21"/>
                      <w:szCs w:val="21"/>
                    </w:rPr>
                    <w:t>是相对于详细评价工作内容而言，在描述危险物质、环境影响途径、环境危害后果、风险防范措施等方面给出定性的说明。见附录A</w:t>
                  </w:r>
                </w:p>
              </w:tc>
            </w:tr>
          </w:tbl>
          <w:p>
            <w:pPr>
              <w:spacing w:line="360" w:lineRule="auto"/>
              <w:ind w:firstLine="482" w:firstLineChars="200"/>
              <w:rPr>
                <w:b/>
                <w:bCs/>
                <w:color w:val="auto"/>
                <w:sz w:val="24"/>
                <w:szCs w:val="24"/>
              </w:rPr>
            </w:pPr>
            <w:r>
              <w:rPr>
                <w:b/>
                <w:bCs/>
                <w:color w:val="auto"/>
                <w:sz w:val="24"/>
                <w:szCs w:val="24"/>
              </w:rPr>
              <w:t>从上表可看出，本项目评价工作等级为</w:t>
            </w:r>
            <w:r>
              <w:rPr>
                <w:b/>
                <w:bCs/>
                <w:snapToGrid w:val="0"/>
                <w:color w:val="auto"/>
                <w:sz w:val="24"/>
                <w:szCs w:val="24"/>
              </w:rPr>
              <w:t>（</w:t>
            </w:r>
            <w:r>
              <w:rPr>
                <w:b/>
                <w:bCs/>
                <w:color w:val="auto"/>
                <w:sz w:val="24"/>
                <w:szCs w:val="24"/>
              </w:rPr>
              <w:t>简单分析）。</w:t>
            </w:r>
          </w:p>
          <w:p>
            <w:pPr>
              <w:adjustRightInd w:val="0"/>
              <w:snapToGrid w:val="0"/>
              <w:spacing w:line="360" w:lineRule="auto"/>
              <w:ind w:firstLine="482" w:firstLineChars="200"/>
              <w:textAlignment w:val="baseline"/>
              <w:rPr>
                <w:b/>
                <w:bCs/>
                <w:snapToGrid w:val="0"/>
                <w:color w:val="auto"/>
                <w:kern w:val="0"/>
                <w:sz w:val="24"/>
                <w:szCs w:val="24"/>
              </w:rPr>
            </w:pPr>
            <w:r>
              <w:rPr>
                <w:rFonts w:hint="eastAsia"/>
                <w:b/>
                <w:bCs/>
                <w:snapToGrid w:val="0"/>
                <w:color w:val="auto"/>
                <w:kern w:val="0"/>
                <w:sz w:val="24"/>
                <w:szCs w:val="24"/>
                <w:lang w:eastAsia="zh-CN"/>
              </w:rPr>
              <w:t>（</w:t>
            </w:r>
            <w:r>
              <w:rPr>
                <w:rFonts w:hint="eastAsia"/>
                <w:b/>
                <w:bCs/>
                <w:snapToGrid w:val="0"/>
                <w:color w:val="auto"/>
                <w:kern w:val="0"/>
                <w:sz w:val="24"/>
                <w:szCs w:val="24"/>
                <w:lang w:val="en-US" w:eastAsia="zh-CN"/>
              </w:rPr>
              <w:t>4</w:t>
            </w:r>
            <w:r>
              <w:rPr>
                <w:rFonts w:hint="eastAsia"/>
                <w:b/>
                <w:bCs/>
                <w:snapToGrid w:val="0"/>
                <w:color w:val="auto"/>
                <w:kern w:val="0"/>
                <w:sz w:val="24"/>
                <w:szCs w:val="24"/>
                <w:lang w:eastAsia="zh-CN"/>
              </w:rPr>
              <w:t>）</w:t>
            </w:r>
            <w:r>
              <w:rPr>
                <w:b/>
                <w:bCs/>
                <w:snapToGrid w:val="0"/>
                <w:color w:val="auto"/>
                <w:kern w:val="0"/>
                <w:sz w:val="24"/>
                <w:szCs w:val="24"/>
              </w:rPr>
              <w:t>风险识别</w:t>
            </w:r>
          </w:p>
          <w:p>
            <w:pPr>
              <w:adjustRightInd w:val="0"/>
              <w:snapToGrid w:val="0"/>
              <w:spacing w:line="360" w:lineRule="auto"/>
              <w:ind w:firstLine="480" w:firstLineChars="200"/>
              <w:jc w:val="left"/>
              <w:textAlignment w:val="baseline"/>
              <w:rPr>
                <w:rFonts w:hint="eastAsia"/>
                <w:color w:val="auto"/>
                <w:spacing w:val="3"/>
                <w:kern w:val="0"/>
                <w:sz w:val="24"/>
                <w:szCs w:val="24"/>
              </w:rPr>
            </w:pPr>
            <w:r>
              <w:rPr>
                <w:b w:val="0"/>
                <w:bCs w:val="0"/>
                <w:color w:val="auto"/>
                <w:kern w:val="0"/>
                <w:sz w:val="24"/>
                <w:szCs w:val="24"/>
              </w:rPr>
              <w:t>本项目</w:t>
            </w:r>
            <w:r>
              <w:rPr>
                <w:color w:val="auto"/>
                <w:spacing w:val="4"/>
                <w:kern w:val="0"/>
                <w:sz w:val="24"/>
                <w:szCs w:val="24"/>
              </w:rPr>
              <w:t>存</w:t>
            </w:r>
            <w:r>
              <w:rPr>
                <w:color w:val="auto"/>
                <w:kern w:val="0"/>
                <w:sz w:val="24"/>
                <w:szCs w:val="24"/>
              </w:rPr>
              <w:t>在环</w:t>
            </w:r>
            <w:r>
              <w:rPr>
                <w:color w:val="auto"/>
                <w:spacing w:val="4"/>
                <w:kern w:val="0"/>
                <w:sz w:val="24"/>
                <w:szCs w:val="24"/>
              </w:rPr>
              <w:t>境</w:t>
            </w:r>
            <w:r>
              <w:rPr>
                <w:color w:val="auto"/>
                <w:kern w:val="0"/>
                <w:sz w:val="24"/>
                <w:szCs w:val="24"/>
              </w:rPr>
              <w:t>风险</w:t>
            </w:r>
            <w:r>
              <w:rPr>
                <w:color w:val="auto"/>
                <w:spacing w:val="4"/>
                <w:kern w:val="0"/>
                <w:sz w:val="24"/>
                <w:szCs w:val="24"/>
              </w:rPr>
              <w:t>的对象主</w:t>
            </w:r>
            <w:r>
              <w:rPr>
                <w:color w:val="auto"/>
                <w:kern w:val="0"/>
                <w:sz w:val="24"/>
                <w:szCs w:val="24"/>
              </w:rPr>
              <w:t>要为生产车间、环保设施，存在的风</w:t>
            </w:r>
            <w:r>
              <w:rPr>
                <w:color w:val="auto"/>
                <w:spacing w:val="3"/>
                <w:kern w:val="0"/>
                <w:sz w:val="24"/>
                <w:szCs w:val="24"/>
              </w:rPr>
              <w:t>险</w:t>
            </w:r>
            <w:r>
              <w:rPr>
                <w:color w:val="auto"/>
                <w:kern w:val="0"/>
                <w:sz w:val="24"/>
                <w:szCs w:val="24"/>
              </w:rPr>
              <w:t>物质</w:t>
            </w:r>
            <w:r>
              <w:rPr>
                <w:color w:val="auto"/>
                <w:spacing w:val="3"/>
                <w:kern w:val="0"/>
                <w:sz w:val="24"/>
                <w:szCs w:val="24"/>
              </w:rPr>
              <w:t>是</w:t>
            </w:r>
            <w:r>
              <w:rPr>
                <w:rFonts w:hint="eastAsia"/>
                <w:color w:val="auto"/>
                <w:spacing w:val="3"/>
                <w:kern w:val="0"/>
                <w:sz w:val="24"/>
                <w:szCs w:val="24"/>
                <w:lang w:eastAsia="zh-CN"/>
              </w:rPr>
              <w:t>机油</w:t>
            </w:r>
            <w:r>
              <w:rPr>
                <w:rFonts w:hint="eastAsia"/>
                <w:color w:val="auto"/>
                <w:spacing w:val="3"/>
                <w:kern w:val="0"/>
                <w:sz w:val="24"/>
                <w:szCs w:val="24"/>
              </w:rPr>
              <w:t>。</w:t>
            </w:r>
          </w:p>
          <w:p>
            <w:pPr>
              <w:adjustRightInd w:val="0"/>
              <w:snapToGrid w:val="0"/>
              <w:spacing w:line="360" w:lineRule="auto"/>
              <w:ind w:firstLine="482" w:firstLineChars="200"/>
              <w:jc w:val="left"/>
              <w:textAlignment w:val="baseline"/>
              <w:rPr>
                <w:b/>
                <w:bCs/>
                <w:snapToGrid w:val="0"/>
                <w:color w:val="auto"/>
                <w:kern w:val="0"/>
                <w:sz w:val="24"/>
                <w:szCs w:val="24"/>
              </w:rPr>
            </w:pPr>
            <w:r>
              <w:rPr>
                <w:rFonts w:hint="eastAsia"/>
                <w:b/>
                <w:bCs/>
                <w:snapToGrid w:val="0"/>
                <w:color w:val="auto"/>
                <w:kern w:val="0"/>
                <w:sz w:val="24"/>
                <w:szCs w:val="24"/>
                <w:lang w:val="en-US" w:eastAsia="zh-CN"/>
              </w:rPr>
              <w:t>1</w:t>
            </w:r>
            <w:r>
              <w:rPr>
                <w:rFonts w:hint="eastAsia"/>
                <w:b/>
                <w:bCs/>
                <w:snapToGrid w:val="0"/>
                <w:color w:val="auto"/>
                <w:kern w:val="0"/>
                <w:sz w:val="24"/>
                <w:szCs w:val="24"/>
                <w:lang w:eastAsia="zh-CN"/>
              </w:rPr>
              <w:t>）</w:t>
            </w:r>
            <w:r>
              <w:rPr>
                <w:b/>
                <w:bCs/>
                <w:snapToGrid w:val="0"/>
                <w:color w:val="auto"/>
                <w:kern w:val="0"/>
                <w:sz w:val="24"/>
                <w:szCs w:val="24"/>
              </w:rPr>
              <w:t>物质危险性识别</w:t>
            </w:r>
          </w:p>
          <w:p>
            <w:pPr>
              <w:kinsoku w:val="0"/>
              <w:overflowPunct w:val="0"/>
              <w:snapToGrid w:val="0"/>
              <w:spacing w:line="360" w:lineRule="auto"/>
              <w:ind w:firstLine="492" w:firstLineChars="200"/>
              <w:rPr>
                <w:color w:val="auto"/>
                <w:kern w:val="0"/>
                <w:sz w:val="24"/>
                <w:szCs w:val="24"/>
              </w:rPr>
            </w:pPr>
            <w:r>
              <w:rPr>
                <w:color w:val="auto"/>
                <w:spacing w:val="3"/>
                <w:kern w:val="0"/>
                <w:sz w:val="24"/>
                <w:szCs w:val="24"/>
              </w:rPr>
              <w:t>风</w:t>
            </w:r>
            <w:r>
              <w:rPr>
                <w:color w:val="auto"/>
                <w:kern w:val="0"/>
                <w:sz w:val="24"/>
                <w:szCs w:val="24"/>
              </w:rPr>
              <w:t>险类</w:t>
            </w:r>
            <w:r>
              <w:rPr>
                <w:color w:val="auto"/>
                <w:spacing w:val="3"/>
                <w:kern w:val="0"/>
                <w:sz w:val="24"/>
                <w:szCs w:val="24"/>
              </w:rPr>
              <w:t>别</w:t>
            </w:r>
            <w:r>
              <w:rPr>
                <w:color w:val="auto"/>
                <w:kern w:val="0"/>
                <w:sz w:val="24"/>
                <w:szCs w:val="24"/>
              </w:rPr>
              <w:t>为有</w:t>
            </w:r>
            <w:r>
              <w:rPr>
                <w:color w:val="auto"/>
                <w:spacing w:val="3"/>
                <w:kern w:val="0"/>
                <w:sz w:val="24"/>
                <w:szCs w:val="24"/>
              </w:rPr>
              <w:t>毒</w:t>
            </w:r>
            <w:r>
              <w:rPr>
                <w:color w:val="auto"/>
                <w:kern w:val="0"/>
                <w:sz w:val="24"/>
                <w:szCs w:val="24"/>
              </w:rPr>
              <w:t>有害</w:t>
            </w:r>
            <w:r>
              <w:rPr>
                <w:color w:val="auto"/>
                <w:spacing w:val="3"/>
                <w:kern w:val="0"/>
                <w:sz w:val="24"/>
                <w:szCs w:val="24"/>
              </w:rPr>
              <w:t>物</w:t>
            </w:r>
            <w:r>
              <w:rPr>
                <w:color w:val="auto"/>
                <w:kern w:val="0"/>
                <w:sz w:val="24"/>
                <w:szCs w:val="24"/>
              </w:rPr>
              <w:t>质泄漏、火灾。</w:t>
            </w:r>
            <w:r>
              <w:rPr>
                <w:color w:val="auto"/>
                <w:spacing w:val="4"/>
                <w:kern w:val="0"/>
                <w:sz w:val="24"/>
                <w:szCs w:val="24"/>
              </w:rPr>
              <w:t>具</w:t>
            </w:r>
            <w:r>
              <w:rPr>
                <w:color w:val="auto"/>
                <w:kern w:val="0"/>
                <w:sz w:val="24"/>
                <w:szCs w:val="24"/>
              </w:rPr>
              <w:t>体内</w:t>
            </w:r>
            <w:r>
              <w:rPr>
                <w:color w:val="auto"/>
                <w:spacing w:val="4"/>
                <w:kern w:val="0"/>
                <w:sz w:val="24"/>
                <w:szCs w:val="24"/>
              </w:rPr>
              <w:t>容</w:t>
            </w:r>
            <w:r>
              <w:rPr>
                <w:color w:val="auto"/>
                <w:kern w:val="0"/>
                <w:sz w:val="24"/>
                <w:szCs w:val="24"/>
              </w:rPr>
              <w:t>详见下表。</w:t>
            </w:r>
          </w:p>
          <w:p>
            <w:pPr>
              <w:kinsoku w:val="0"/>
              <w:overflowPunct w:val="0"/>
              <w:snapToGrid w:val="0"/>
              <w:jc w:val="center"/>
              <w:rPr>
                <w:color w:val="auto"/>
                <w:sz w:val="21"/>
                <w:szCs w:val="21"/>
              </w:rPr>
            </w:pPr>
            <w:r>
              <w:rPr>
                <w:b/>
                <w:bCs/>
                <w:color w:val="auto"/>
                <w:spacing w:val="4"/>
                <w:sz w:val="21"/>
                <w:szCs w:val="21"/>
              </w:rPr>
              <w:t>表 4-</w:t>
            </w:r>
            <w:r>
              <w:rPr>
                <w:rFonts w:hint="eastAsia"/>
                <w:b/>
                <w:bCs/>
                <w:color w:val="auto"/>
                <w:spacing w:val="4"/>
                <w:sz w:val="21"/>
                <w:szCs w:val="21"/>
                <w:lang w:val="en-US" w:eastAsia="zh-CN"/>
              </w:rPr>
              <w:t>15</w:t>
            </w:r>
            <w:r>
              <w:rPr>
                <w:b/>
                <w:bCs/>
                <w:color w:val="auto"/>
                <w:spacing w:val="4"/>
                <w:sz w:val="21"/>
                <w:szCs w:val="21"/>
              </w:rPr>
              <w:t xml:space="preserve"> 项目风险识别一览表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226"/>
              <w:gridCol w:w="1160"/>
              <w:gridCol w:w="1428"/>
              <w:gridCol w:w="1030"/>
              <w:gridCol w:w="1630"/>
              <w:gridCol w:w="15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1" w:type="pct"/>
                  <w:shd w:val="clear" w:color="auto" w:fill="DCE6F2" w:themeFill="accent1" w:themeFillTint="32"/>
                  <w:noWrap w:val="0"/>
                  <w:vAlign w:val="center"/>
                </w:tcPr>
                <w:p>
                  <w:pPr>
                    <w:adjustRightInd w:val="0"/>
                    <w:snapToGrid w:val="0"/>
                    <w:jc w:val="center"/>
                    <w:rPr>
                      <w:b/>
                      <w:bCs/>
                      <w:snapToGrid w:val="0"/>
                      <w:color w:val="auto"/>
                      <w:kern w:val="0"/>
                      <w:sz w:val="21"/>
                      <w:szCs w:val="21"/>
                    </w:rPr>
                  </w:pPr>
                  <w:r>
                    <w:rPr>
                      <w:b/>
                      <w:bCs/>
                      <w:snapToGrid w:val="0"/>
                      <w:color w:val="auto"/>
                      <w:kern w:val="0"/>
                      <w:sz w:val="21"/>
                      <w:szCs w:val="21"/>
                    </w:rPr>
                    <w:t>序号</w:t>
                  </w:r>
                </w:p>
              </w:tc>
              <w:tc>
                <w:tcPr>
                  <w:tcW w:w="713" w:type="pct"/>
                  <w:shd w:val="clear" w:color="auto" w:fill="DCE6F2" w:themeFill="accent1" w:themeFillTint="32"/>
                  <w:noWrap w:val="0"/>
                  <w:vAlign w:val="center"/>
                </w:tcPr>
                <w:p>
                  <w:pPr>
                    <w:adjustRightInd w:val="0"/>
                    <w:snapToGrid w:val="0"/>
                    <w:jc w:val="center"/>
                    <w:rPr>
                      <w:b/>
                      <w:bCs/>
                      <w:snapToGrid w:val="0"/>
                      <w:color w:val="auto"/>
                      <w:kern w:val="0"/>
                      <w:sz w:val="21"/>
                      <w:szCs w:val="21"/>
                    </w:rPr>
                  </w:pPr>
                  <w:r>
                    <w:rPr>
                      <w:b/>
                      <w:bCs/>
                      <w:snapToGrid w:val="0"/>
                      <w:color w:val="auto"/>
                      <w:kern w:val="0"/>
                      <w:sz w:val="21"/>
                      <w:szCs w:val="21"/>
                    </w:rPr>
                    <w:t>生产装置或场所</w:t>
                  </w:r>
                </w:p>
              </w:tc>
              <w:tc>
                <w:tcPr>
                  <w:tcW w:w="675" w:type="pct"/>
                  <w:shd w:val="clear" w:color="auto" w:fill="DCE6F2" w:themeFill="accent1" w:themeFillTint="32"/>
                  <w:noWrap w:val="0"/>
                  <w:vAlign w:val="center"/>
                </w:tcPr>
                <w:p>
                  <w:pPr>
                    <w:adjustRightInd w:val="0"/>
                    <w:snapToGrid w:val="0"/>
                    <w:jc w:val="center"/>
                    <w:rPr>
                      <w:b/>
                      <w:bCs/>
                      <w:snapToGrid w:val="0"/>
                      <w:color w:val="auto"/>
                      <w:kern w:val="0"/>
                      <w:sz w:val="21"/>
                      <w:szCs w:val="21"/>
                    </w:rPr>
                  </w:pPr>
                  <w:r>
                    <w:rPr>
                      <w:b/>
                      <w:bCs/>
                      <w:snapToGrid w:val="0"/>
                      <w:color w:val="auto"/>
                      <w:kern w:val="0"/>
                      <w:sz w:val="21"/>
                      <w:szCs w:val="21"/>
                    </w:rPr>
                    <w:t>危险单元</w:t>
                  </w:r>
                </w:p>
              </w:tc>
              <w:tc>
                <w:tcPr>
                  <w:tcW w:w="831" w:type="pct"/>
                  <w:shd w:val="clear" w:color="auto" w:fill="DCE6F2" w:themeFill="accent1" w:themeFillTint="32"/>
                  <w:noWrap w:val="0"/>
                  <w:vAlign w:val="center"/>
                </w:tcPr>
                <w:p>
                  <w:pPr>
                    <w:adjustRightInd w:val="0"/>
                    <w:snapToGrid w:val="0"/>
                    <w:jc w:val="center"/>
                    <w:rPr>
                      <w:b/>
                      <w:bCs/>
                      <w:snapToGrid w:val="0"/>
                      <w:color w:val="auto"/>
                      <w:kern w:val="0"/>
                      <w:sz w:val="21"/>
                      <w:szCs w:val="21"/>
                    </w:rPr>
                  </w:pPr>
                  <w:r>
                    <w:rPr>
                      <w:b/>
                      <w:bCs/>
                      <w:snapToGrid w:val="0"/>
                      <w:color w:val="auto"/>
                      <w:kern w:val="0"/>
                      <w:sz w:val="21"/>
                      <w:szCs w:val="21"/>
                    </w:rPr>
                    <w:t>主要危险物质</w:t>
                  </w:r>
                </w:p>
              </w:tc>
              <w:tc>
                <w:tcPr>
                  <w:tcW w:w="599" w:type="pct"/>
                  <w:shd w:val="clear" w:color="auto" w:fill="DCE6F2" w:themeFill="accent1" w:themeFillTint="32"/>
                  <w:noWrap w:val="0"/>
                  <w:vAlign w:val="center"/>
                </w:tcPr>
                <w:p>
                  <w:pPr>
                    <w:adjustRightInd w:val="0"/>
                    <w:snapToGrid w:val="0"/>
                    <w:jc w:val="center"/>
                    <w:rPr>
                      <w:b/>
                      <w:bCs/>
                      <w:snapToGrid w:val="0"/>
                      <w:color w:val="auto"/>
                      <w:kern w:val="0"/>
                      <w:sz w:val="21"/>
                      <w:szCs w:val="21"/>
                    </w:rPr>
                  </w:pPr>
                  <w:r>
                    <w:rPr>
                      <w:b/>
                      <w:bCs/>
                      <w:snapToGrid w:val="0"/>
                      <w:color w:val="auto"/>
                      <w:kern w:val="0"/>
                      <w:sz w:val="21"/>
                      <w:szCs w:val="21"/>
                    </w:rPr>
                    <w:t>事故类型</w:t>
                  </w:r>
                </w:p>
              </w:tc>
              <w:tc>
                <w:tcPr>
                  <w:tcW w:w="948" w:type="pct"/>
                  <w:shd w:val="clear" w:color="auto" w:fill="DCE6F2" w:themeFill="accent1" w:themeFillTint="32"/>
                  <w:noWrap w:val="0"/>
                  <w:vAlign w:val="center"/>
                </w:tcPr>
                <w:p>
                  <w:pPr>
                    <w:adjustRightInd w:val="0"/>
                    <w:snapToGrid w:val="0"/>
                    <w:jc w:val="center"/>
                    <w:rPr>
                      <w:b/>
                      <w:bCs/>
                      <w:snapToGrid w:val="0"/>
                      <w:color w:val="auto"/>
                      <w:kern w:val="0"/>
                      <w:sz w:val="21"/>
                      <w:szCs w:val="21"/>
                    </w:rPr>
                  </w:pPr>
                  <w:r>
                    <w:rPr>
                      <w:b/>
                      <w:bCs/>
                      <w:snapToGrid w:val="0"/>
                      <w:color w:val="auto"/>
                      <w:kern w:val="0"/>
                      <w:sz w:val="21"/>
                      <w:szCs w:val="21"/>
                    </w:rPr>
                    <w:t>受影响的环境敏感目标</w:t>
                  </w:r>
                </w:p>
              </w:tc>
              <w:tc>
                <w:tcPr>
                  <w:tcW w:w="909" w:type="pct"/>
                  <w:shd w:val="clear" w:color="auto" w:fill="DCE6F2" w:themeFill="accent1" w:themeFillTint="32"/>
                  <w:noWrap w:val="0"/>
                  <w:vAlign w:val="center"/>
                </w:tcPr>
                <w:p>
                  <w:pPr>
                    <w:adjustRightInd w:val="0"/>
                    <w:snapToGrid w:val="0"/>
                    <w:jc w:val="center"/>
                    <w:rPr>
                      <w:b/>
                      <w:bCs/>
                      <w:snapToGrid w:val="0"/>
                      <w:color w:val="auto"/>
                      <w:kern w:val="0"/>
                      <w:sz w:val="21"/>
                      <w:szCs w:val="21"/>
                    </w:rPr>
                  </w:pPr>
                  <w:r>
                    <w:rPr>
                      <w:b/>
                      <w:bCs/>
                      <w:snapToGrid w:val="0"/>
                      <w:color w:val="auto"/>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21" w:type="pct"/>
                  <w:noWrap w:val="0"/>
                  <w:vAlign w:val="center"/>
                </w:tcPr>
                <w:p>
                  <w:pPr>
                    <w:adjustRightInd w:val="0"/>
                    <w:snapToGrid w:val="0"/>
                    <w:jc w:val="center"/>
                    <w:rPr>
                      <w:snapToGrid w:val="0"/>
                      <w:color w:val="auto"/>
                      <w:kern w:val="0"/>
                      <w:sz w:val="21"/>
                      <w:szCs w:val="21"/>
                    </w:rPr>
                  </w:pPr>
                  <w:r>
                    <w:rPr>
                      <w:snapToGrid w:val="0"/>
                      <w:color w:val="auto"/>
                      <w:kern w:val="0"/>
                      <w:sz w:val="21"/>
                      <w:szCs w:val="21"/>
                    </w:rPr>
                    <w:t>1</w:t>
                  </w:r>
                </w:p>
              </w:tc>
              <w:tc>
                <w:tcPr>
                  <w:tcW w:w="713" w:type="pct"/>
                  <w:noWrap w:val="0"/>
                  <w:vAlign w:val="center"/>
                </w:tcPr>
                <w:p>
                  <w:pPr>
                    <w:adjustRightInd w:val="0"/>
                    <w:snapToGrid w:val="0"/>
                    <w:jc w:val="center"/>
                    <w:rPr>
                      <w:snapToGrid w:val="0"/>
                      <w:color w:val="auto"/>
                      <w:kern w:val="0"/>
                      <w:sz w:val="21"/>
                      <w:szCs w:val="21"/>
                    </w:rPr>
                  </w:pPr>
                  <w:r>
                    <w:rPr>
                      <w:snapToGrid w:val="0"/>
                      <w:color w:val="auto"/>
                      <w:kern w:val="0"/>
                      <w:sz w:val="21"/>
                      <w:szCs w:val="21"/>
                    </w:rPr>
                    <w:t>库房</w:t>
                  </w:r>
                </w:p>
              </w:tc>
              <w:tc>
                <w:tcPr>
                  <w:tcW w:w="675" w:type="pct"/>
                  <w:noWrap w:val="0"/>
                  <w:vAlign w:val="center"/>
                </w:tcPr>
                <w:p>
                  <w:pPr>
                    <w:adjustRightInd w:val="0"/>
                    <w:snapToGrid w:val="0"/>
                    <w:jc w:val="center"/>
                    <w:rPr>
                      <w:snapToGrid w:val="0"/>
                      <w:color w:val="auto"/>
                      <w:kern w:val="0"/>
                      <w:sz w:val="21"/>
                      <w:szCs w:val="21"/>
                    </w:rPr>
                  </w:pPr>
                  <w:r>
                    <w:rPr>
                      <w:rFonts w:hint="eastAsia"/>
                      <w:snapToGrid w:val="0"/>
                      <w:color w:val="auto"/>
                      <w:kern w:val="0"/>
                      <w:sz w:val="21"/>
                      <w:szCs w:val="21"/>
                      <w:lang w:val="en-US" w:eastAsia="zh-CN"/>
                    </w:rPr>
                    <w:t>机</w:t>
                  </w:r>
                  <w:r>
                    <w:rPr>
                      <w:rFonts w:hint="eastAsia"/>
                      <w:snapToGrid w:val="0"/>
                      <w:color w:val="auto"/>
                      <w:kern w:val="0"/>
                      <w:sz w:val="21"/>
                      <w:szCs w:val="21"/>
                      <w:lang w:eastAsia="zh-CN"/>
                    </w:rPr>
                    <w:t>油</w:t>
                  </w:r>
                  <w:r>
                    <w:rPr>
                      <w:snapToGrid w:val="0"/>
                      <w:color w:val="auto"/>
                      <w:kern w:val="0"/>
                      <w:sz w:val="21"/>
                      <w:szCs w:val="21"/>
                    </w:rPr>
                    <w:t>存放区</w:t>
                  </w:r>
                </w:p>
              </w:tc>
              <w:tc>
                <w:tcPr>
                  <w:tcW w:w="831" w:type="pct"/>
                  <w:noWrap w:val="0"/>
                  <w:vAlign w:val="center"/>
                </w:tcPr>
                <w:p>
                  <w:pPr>
                    <w:adjustRightInd w:val="0"/>
                    <w:snapToGrid w:val="0"/>
                    <w:jc w:val="center"/>
                    <w:rPr>
                      <w:rFonts w:hint="eastAsia" w:eastAsia="宋体"/>
                      <w:snapToGrid w:val="0"/>
                      <w:color w:val="auto"/>
                      <w:kern w:val="0"/>
                      <w:sz w:val="21"/>
                      <w:szCs w:val="21"/>
                      <w:lang w:eastAsia="zh-CN"/>
                    </w:rPr>
                  </w:pPr>
                  <w:r>
                    <w:rPr>
                      <w:rFonts w:hint="eastAsia"/>
                      <w:snapToGrid w:val="0"/>
                      <w:color w:val="auto"/>
                      <w:kern w:val="0"/>
                      <w:sz w:val="21"/>
                      <w:szCs w:val="21"/>
                      <w:lang w:val="en-US" w:eastAsia="zh-CN"/>
                    </w:rPr>
                    <w:t>机</w:t>
                  </w:r>
                  <w:r>
                    <w:rPr>
                      <w:rFonts w:hint="eastAsia"/>
                      <w:snapToGrid w:val="0"/>
                      <w:color w:val="auto"/>
                      <w:kern w:val="0"/>
                      <w:sz w:val="21"/>
                      <w:szCs w:val="21"/>
                      <w:lang w:eastAsia="zh-CN"/>
                    </w:rPr>
                    <w:t>油</w:t>
                  </w:r>
                </w:p>
              </w:tc>
              <w:tc>
                <w:tcPr>
                  <w:tcW w:w="599" w:type="pct"/>
                  <w:noWrap w:val="0"/>
                  <w:vAlign w:val="center"/>
                </w:tcPr>
                <w:p>
                  <w:pPr>
                    <w:adjustRightInd w:val="0"/>
                    <w:snapToGrid w:val="0"/>
                    <w:jc w:val="center"/>
                    <w:rPr>
                      <w:snapToGrid w:val="0"/>
                      <w:color w:val="auto"/>
                      <w:kern w:val="0"/>
                      <w:sz w:val="21"/>
                      <w:szCs w:val="21"/>
                    </w:rPr>
                  </w:pPr>
                  <w:r>
                    <w:rPr>
                      <w:rFonts w:hint="eastAsia"/>
                      <w:b/>
                      <w:color w:val="auto"/>
                      <w:kern w:val="0"/>
                      <w:sz w:val="21"/>
                      <w:szCs w:val="21"/>
                    </w:rPr>
                    <w:t>泄漏</w:t>
                  </w:r>
                  <w:r>
                    <w:rPr>
                      <w:b/>
                      <w:color w:val="auto"/>
                      <w:kern w:val="0"/>
                      <w:sz w:val="21"/>
                      <w:szCs w:val="21"/>
                    </w:rPr>
                    <w:t>、火灾</w:t>
                  </w:r>
                </w:p>
              </w:tc>
              <w:tc>
                <w:tcPr>
                  <w:tcW w:w="948" w:type="pct"/>
                  <w:noWrap w:val="0"/>
                  <w:vAlign w:val="center"/>
                </w:tcPr>
                <w:p>
                  <w:pPr>
                    <w:snapToGrid w:val="0"/>
                    <w:jc w:val="center"/>
                    <w:rPr>
                      <w:color w:val="auto"/>
                      <w:sz w:val="21"/>
                      <w:szCs w:val="21"/>
                    </w:rPr>
                  </w:pPr>
                  <w:r>
                    <w:rPr>
                      <w:color w:val="auto"/>
                      <w:sz w:val="21"/>
                      <w:szCs w:val="21"/>
                    </w:rPr>
                    <w:t>项目所在地地下水</w:t>
                  </w:r>
                </w:p>
              </w:tc>
              <w:tc>
                <w:tcPr>
                  <w:tcW w:w="909" w:type="pct"/>
                  <w:noWrap w:val="0"/>
                  <w:vAlign w:val="center"/>
                </w:tcPr>
                <w:p>
                  <w:pPr>
                    <w:snapToGrid w:val="0"/>
                    <w:jc w:val="center"/>
                    <w:rPr>
                      <w:snapToGrid w:val="0"/>
                      <w:color w:val="auto"/>
                      <w:sz w:val="21"/>
                      <w:szCs w:val="21"/>
                    </w:rPr>
                  </w:pPr>
                  <w:r>
                    <w:rPr>
                      <w:color w:val="auto"/>
                      <w:sz w:val="21"/>
                      <w:szCs w:val="21"/>
                    </w:rPr>
                    <w:t>有毒、腐蚀性、可燃</w:t>
                  </w:r>
                </w:p>
              </w:tc>
            </w:tr>
          </w:tbl>
          <w:p>
            <w:pPr>
              <w:adjustRightInd w:val="0"/>
              <w:snapToGrid w:val="0"/>
              <w:spacing w:line="360" w:lineRule="auto"/>
              <w:ind w:firstLine="420" w:firstLineChars="200"/>
              <w:jc w:val="left"/>
              <w:textAlignment w:val="baseline"/>
              <w:rPr>
                <w:snapToGrid w:val="0"/>
                <w:color w:val="auto"/>
                <w:kern w:val="0"/>
                <w:sz w:val="21"/>
                <w:szCs w:val="21"/>
              </w:rPr>
            </w:pPr>
            <w:r>
              <w:rPr>
                <w:snapToGrid w:val="0"/>
                <w:color w:val="auto"/>
                <w:kern w:val="0"/>
                <w:sz w:val="21"/>
                <w:szCs w:val="21"/>
              </w:rPr>
              <w:t>本项目</w:t>
            </w:r>
            <w:r>
              <w:rPr>
                <w:rFonts w:hint="eastAsia"/>
                <w:snapToGrid w:val="0"/>
                <w:color w:val="auto"/>
                <w:kern w:val="0"/>
                <w:sz w:val="21"/>
                <w:szCs w:val="21"/>
                <w:lang w:eastAsia="zh-CN"/>
              </w:rPr>
              <w:t>机油</w:t>
            </w:r>
            <w:r>
              <w:rPr>
                <w:snapToGrid w:val="0"/>
                <w:color w:val="auto"/>
                <w:kern w:val="0"/>
                <w:sz w:val="21"/>
                <w:szCs w:val="21"/>
              </w:rPr>
              <w:t>危险特性见下表：</w:t>
            </w:r>
          </w:p>
          <w:p>
            <w:pPr>
              <w:adjustRightInd w:val="0"/>
              <w:snapToGrid w:val="0"/>
              <w:jc w:val="center"/>
              <w:outlineLvl w:val="0"/>
              <w:rPr>
                <w:b/>
                <w:bCs/>
                <w:color w:val="auto"/>
                <w:kern w:val="0"/>
                <w:sz w:val="21"/>
                <w:szCs w:val="21"/>
              </w:rPr>
            </w:pPr>
            <w:r>
              <w:rPr>
                <w:b/>
                <w:bCs/>
                <w:color w:val="auto"/>
                <w:kern w:val="0"/>
                <w:sz w:val="21"/>
                <w:szCs w:val="21"/>
              </w:rPr>
              <w:t>表4-</w:t>
            </w:r>
            <w:r>
              <w:rPr>
                <w:rFonts w:hint="eastAsia"/>
                <w:b/>
                <w:bCs/>
                <w:color w:val="auto"/>
                <w:kern w:val="0"/>
                <w:sz w:val="21"/>
                <w:szCs w:val="21"/>
                <w:lang w:val="en-US" w:eastAsia="zh-CN"/>
              </w:rPr>
              <w:t>16</w:t>
            </w:r>
            <w:r>
              <w:rPr>
                <w:b/>
                <w:bCs/>
                <w:color w:val="auto"/>
                <w:kern w:val="0"/>
                <w:sz w:val="21"/>
                <w:szCs w:val="21"/>
              </w:rPr>
              <w:t xml:space="preserve"> </w:t>
            </w:r>
            <w:r>
              <w:rPr>
                <w:rFonts w:hint="eastAsia"/>
                <w:b/>
                <w:bCs/>
                <w:color w:val="auto"/>
                <w:kern w:val="0"/>
                <w:sz w:val="21"/>
                <w:szCs w:val="21"/>
                <w:lang w:eastAsia="zh-CN"/>
              </w:rPr>
              <w:t>机油</w:t>
            </w:r>
            <w:r>
              <w:rPr>
                <w:b/>
                <w:bCs/>
                <w:color w:val="auto"/>
                <w:kern w:val="0"/>
                <w:sz w:val="21"/>
                <w:szCs w:val="21"/>
              </w:rPr>
              <w:t>危险特性及理化性质一览表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803"/>
              <w:gridCol w:w="1074"/>
              <w:gridCol w:w="4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784" w:type="dxa"/>
                  <w:shd w:val="clear" w:color="auto" w:fill="DCE6F2" w:themeFill="accent1" w:themeFillTint="32"/>
                  <w:noWrap w:val="0"/>
                  <w:vAlign w:val="center"/>
                </w:tcPr>
                <w:p>
                  <w:pPr>
                    <w:snapToGrid w:val="0"/>
                    <w:jc w:val="center"/>
                    <w:rPr>
                      <w:b/>
                      <w:bCs/>
                      <w:color w:val="auto"/>
                      <w:sz w:val="21"/>
                      <w:szCs w:val="21"/>
                    </w:rPr>
                  </w:pPr>
                  <w:r>
                    <w:rPr>
                      <w:b/>
                      <w:bCs/>
                      <w:color w:val="auto"/>
                      <w:sz w:val="21"/>
                      <w:szCs w:val="21"/>
                    </w:rPr>
                    <w:t>自燃点</w:t>
                  </w:r>
                </w:p>
              </w:tc>
              <w:tc>
                <w:tcPr>
                  <w:tcW w:w="1854" w:type="dxa"/>
                  <w:noWrap w:val="0"/>
                  <w:vAlign w:val="center"/>
                </w:tcPr>
                <w:p>
                  <w:pPr>
                    <w:snapToGrid w:val="0"/>
                    <w:jc w:val="center"/>
                    <w:rPr>
                      <w:color w:val="auto"/>
                      <w:sz w:val="21"/>
                      <w:szCs w:val="21"/>
                    </w:rPr>
                  </w:pPr>
                  <w:r>
                    <w:rPr>
                      <w:color w:val="auto"/>
                      <w:sz w:val="21"/>
                      <w:szCs w:val="21"/>
                    </w:rPr>
                    <w:t>300~350℃</w:t>
                  </w:r>
                </w:p>
              </w:tc>
              <w:tc>
                <w:tcPr>
                  <w:tcW w:w="1127" w:type="dxa"/>
                  <w:noWrap w:val="0"/>
                  <w:vAlign w:val="center"/>
                </w:tcPr>
                <w:p>
                  <w:pPr>
                    <w:snapToGrid w:val="0"/>
                    <w:jc w:val="center"/>
                    <w:rPr>
                      <w:b/>
                      <w:bCs/>
                      <w:color w:val="auto"/>
                      <w:sz w:val="21"/>
                      <w:szCs w:val="21"/>
                    </w:rPr>
                  </w:pPr>
                  <w:r>
                    <w:rPr>
                      <w:b/>
                      <w:bCs/>
                      <w:color w:val="auto"/>
                      <w:sz w:val="21"/>
                      <w:szCs w:val="21"/>
                    </w:rPr>
                    <w:t>溶解性</w:t>
                  </w:r>
                </w:p>
              </w:tc>
              <w:tc>
                <w:tcPr>
                  <w:tcW w:w="4306" w:type="dxa"/>
                  <w:noWrap w:val="0"/>
                  <w:vAlign w:val="center"/>
                </w:tcPr>
                <w:p>
                  <w:pPr>
                    <w:snapToGrid w:val="0"/>
                    <w:jc w:val="left"/>
                    <w:rPr>
                      <w:color w:val="auto"/>
                      <w:sz w:val="21"/>
                      <w:szCs w:val="21"/>
                    </w:rPr>
                  </w:pPr>
                  <w:r>
                    <w:rPr>
                      <w:color w:val="auto"/>
                      <w:sz w:val="21"/>
                      <w:szCs w:val="21"/>
                    </w:rPr>
                    <w:t>溶于苯、乙醇、乙醚、氯仿、丙酮等多数有机溶剂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784" w:type="dxa"/>
                  <w:vMerge w:val="restart"/>
                  <w:shd w:val="clear" w:color="auto" w:fill="DCE6F2" w:themeFill="accent1" w:themeFillTint="32"/>
                  <w:noWrap w:val="0"/>
                  <w:vAlign w:val="center"/>
                </w:tcPr>
                <w:p>
                  <w:pPr>
                    <w:snapToGrid w:val="0"/>
                    <w:jc w:val="center"/>
                    <w:rPr>
                      <w:b/>
                      <w:bCs/>
                      <w:color w:val="auto"/>
                      <w:sz w:val="21"/>
                      <w:szCs w:val="21"/>
                    </w:rPr>
                  </w:pPr>
                  <w:r>
                    <w:rPr>
                      <w:b/>
                      <w:bCs/>
                      <w:color w:val="auto"/>
                      <w:sz w:val="21"/>
                      <w:szCs w:val="21"/>
                    </w:rPr>
                    <w:t>燃烧爆炸危险</w:t>
                  </w:r>
                </w:p>
              </w:tc>
              <w:tc>
                <w:tcPr>
                  <w:tcW w:w="1854" w:type="dxa"/>
                  <w:noWrap w:val="0"/>
                  <w:vAlign w:val="center"/>
                </w:tcPr>
                <w:p>
                  <w:pPr>
                    <w:snapToGrid w:val="0"/>
                    <w:jc w:val="center"/>
                    <w:rPr>
                      <w:color w:val="auto"/>
                      <w:sz w:val="21"/>
                      <w:szCs w:val="21"/>
                    </w:rPr>
                  </w:pPr>
                  <w:r>
                    <w:rPr>
                      <w:color w:val="auto"/>
                      <w:sz w:val="21"/>
                      <w:szCs w:val="21"/>
                    </w:rPr>
                    <w:t>危险特性</w:t>
                  </w:r>
                </w:p>
              </w:tc>
              <w:tc>
                <w:tcPr>
                  <w:tcW w:w="5433" w:type="dxa"/>
                  <w:gridSpan w:val="2"/>
                  <w:noWrap w:val="0"/>
                  <w:vAlign w:val="center"/>
                </w:tcPr>
                <w:p>
                  <w:pPr>
                    <w:snapToGrid w:val="0"/>
                    <w:rPr>
                      <w:color w:val="auto"/>
                      <w:sz w:val="21"/>
                      <w:szCs w:val="21"/>
                    </w:rPr>
                  </w:pPr>
                  <w:r>
                    <w:rPr>
                      <w:color w:val="auto"/>
                      <w:sz w:val="21"/>
                      <w:szCs w:val="21"/>
                    </w:rPr>
                    <w:t>可燃液体，火灾危险性为丙B类；遇明火、高热可燃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784" w:type="dxa"/>
                  <w:vMerge w:val="continue"/>
                  <w:shd w:val="clear" w:color="auto" w:fill="DCE6F2" w:themeFill="accent1" w:themeFillTint="32"/>
                  <w:noWrap w:val="0"/>
                  <w:vAlign w:val="center"/>
                </w:tcPr>
                <w:p>
                  <w:pPr>
                    <w:snapToGrid w:val="0"/>
                    <w:jc w:val="center"/>
                    <w:rPr>
                      <w:b/>
                      <w:bCs/>
                      <w:color w:val="auto"/>
                      <w:sz w:val="21"/>
                      <w:szCs w:val="21"/>
                    </w:rPr>
                  </w:pPr>
                </w:p>
              </w:tc>
              <w:tc>
                <w:tcPr>
                  <w:tcW w:w="1854" w:type="dxa"/>
                  <w:noWrap w:val="0"/>
                  <w:vAlign w:val="center"/>
                </w:tcPr>
                <w:p>
                  <w:pPr>
                    <w:snapToGrid w:val="0"/>
                    <w:jc w:val="center"/>
                    <w:rPr>
                      <w:color w:val="auto"/>
                      <w:sz w:val="21"/>
                      <w:szCs w:val="21"/>
                    </w:rPr>
                  </w:pPr>
                  <w:r>
                    <w:rPr>
                      <w:color w:val="auto"/>
                      <w:sz w:val="21"/>
                      <w:szCs w:val="21"/>
                    </w:rPr>
                    <w:t>燃烧分解产物</w:t>
                  </w:r>
                </w:p>
              </w:tc>
              <w:tc>
                <w:tcPr>
                  <w:tcW w:w="5433" w:type="dxa"/>
                  <w:gridSpan w:val="2"/>
                  <w:noWrap w:val="0"/>
                  <w:vAlign w:val="center"/>
                </w:tcPr>
                <w:p>
                  <w:pPr>
                    <w:snapToGrid w:val="0"/>
                    <w:jc w:val="left"/>
                    <w:rPr>
                      <w:color w:val="auto"/>
                      <w:sz w:val="21"/>
                      <w:szCs w:val="21"/>
                    </w:rPr>
                  </w:pPr>
                  <w:r>
                    <w:rPr>
                      <w:color w:val="auto"/>
                      <w:sz w:val="21"/>
                      <w:szCs w:val="21"/>
                    </w:rPr>
                    <w:t>CO、CO</w:t>
                  </w:r>
                  <w:r>
                    <w:rPr>
                      <w:color w:val="auto"/>
                      <w:sz w:val="21"/>
                      <w:szCs w:val="21"/>
                      <w:vertAlign w:val="subscript"/>
                    </w:rPr>
                    <w:t>2</w:t>
                  </w:r>
                  <w:r>
                    <w:rPr>
                      <w:color w:val="auto"/>
                      <w:sz w:val="21"/>
                      <w:szCs w:val="21"/>
                    </w:rPr>
                    <w:t>等有毒有害气体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784" w:type="dxa"/>
                  <w:vMerge w:val="continue"/>
                  <w:shd w:val="clear" w:color="auto" w:fill="DCE6F2" w:themeFill="accent1" w:themeFillTint="32"/>
                  <w:noWrap w:val="0"/>
                  <w:vAlign w:val="center"/>
                </w:tcPr>
                <w:p>
                  <w:pPr>
                    <w:snapToGrid w:val="0"/>
                    <w:jc w:val="center"/>
                    <w:rPr>
                      <w:b/>
                      <w:bCs/>
                      <w:color w:val="auto"/>
                      <w:sz w:val="21"/>
                      <w:szCs w:val="21"/>
                    </w:rPr>
                  </w:pPr>
                </w:p>
              </w:tc>
              <w:tc>
                <w:tcPr>
                  <w:tcW w:w="1854" w:type="dxa"/>
                  <w:noWrap w:val="0"/>
                  <w:vAlign w:val="center"/>
                </w:tcPr>
                <w:p>
                  <w:pPr>
                    <w:snapToGrid w:val="0"/>
                    <w:jc w:val="center"/>
                    <w:rPr>
                      <w:color w:val="auto"/>
                      <w:sz w:val="21"/>
                      <w:szCs w:val="21"/>
                    </w:rPr>
                  </w:pPr>
                  <w:r>
                    <w:rPr>
                      <w:color w:val="auto"/>
                      <w:sz w:val="21"/>
                      <w:szCs w:val="21"/>
                    </w:rPr>
                    <w:t>灭火方法</w:t>
                  </w:r>
                </w:p>
              </w:tc>
              <w:tc>
                <w:tcPr>
                  <w:tcW w:w="5433" w:type="dxa"/>
                  <w:gridSpan w:val="2"/>
                  <w:noWrap w:val="0"/>
                  <w:vAlign w:val="center"/>
                </w:tcPr>
                <w:p>
                  <w:pPr>
                    <w:snapToGrid w:val="0"/>
                    <w:jc w:val="left"/>
                    <w:rPr>
                      <w:color w:val="auto"/>
                      <w:sz w:val="21"/>
                      <w:szCs w:val="21"/>
                    </w:rPr>
                  </w:pPr>
                  <w:r>
                    <w:rPr>
                      <w:color w:val="auto"/>
                      <w:sz w:val="21"/>
                      <w:szCs w:val="21"/>
                    </w:rPr>
                    <w:t>消防人员须佩戴防毒面具、穿全身消防服，在上风向灭火。尽可能将容器从火场移至空旷处。喷水保持火场容器冷却，直至灭火 结束。处在火场中的容器若已变色或从安全泄压装置中产生声音，必须立即撤离。灭火剂：雾状水、泡沫、干粉、二氧化碳、砂土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784" w:type="dxa"/>
                  <w:shd w:val="clear" w:color="auto" w:fill="DCE6F2" w:themeFill="accent1" w:themeFillTint="32"/>
                  <w:noWrap w:val="0"/>
                  <w:vAlign w:val="center"/>
                </w:tcPr>
                <w:p>
                  <w:pPr>
                    <w:snapToGrid w:val="0"/>
                    <w:jc w:val="center"/>
                    <w:rPr>
                      <w:b/>
                      <w:bCs/>
                      <w:color w:val="auto"/>
                      <w:sz w:val="21"/>
                      <w:szCs w:val="21"/>
                    </w:rPr>
                  </w:pPr>
                  <w:r>
                    <w:rPr>
                      <w:b/>
                      <w:bCs/>
                      <w:color w:val="auto"/>
                      <w:sz w:val="21"/>
                      <w:szCs w:val="21"/>
                    </w:rPr>
                    <w:t>健康危害</w:t>
                  </w:r>
                </w:p>
              </w:tc>
              <w:tc>
                <w:tcPr>
                  <w:tcW w:w="7287" w:type="dxa"/>
                  <w:gridSpan w:val="3"/>
                  <w:noWrap w:val="0"/>
                  <w:vAlign w:val="center"/>
                </w:tcPr>
                <w:p>
                  <w:pPr>
                    <w:snapToGrid w:val="0"/>
                    <w:jc w:val="left"/>
                    <w:rPr>
                      <w:color w:val="auto"/>
                      <w:sz w:val="21"/>
                      <w:szCs w:val="21"/>
                    </w:rPr>
                  </w:pPr>
                  <w:r>
                    <w:rPr>
                      <w:color w:val="auto"/>
                      <w:sz w:val="21"/>
                      <w:szCs w:val="21"/>
                    </w:rPr>
                    <w:t>急性吸入，可出现乏力、头晕、头痛、恶心，严重者可引起油脂性肺炎。慢接触者，暴露部位可发生油性痤疮和接触型皮炎。可引发神经衰弱综合症，呼吸道和眼刺激症状及慢性油脂性肺炎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784" w:type="dxa"/>
                  <w:shd w:val="clear" w:color="auto" w:fill="DCE6F2" w:themeFill="accent1" w:themeFillTint="32"/>
                  <w:noWrap w:val="0"/>
                  <w:vAlign w:val="center"/>
                </w:tcPr>
                <w:p>
                  <w:pPr>
                    <w:snapToGrid w:val="0"/>
                    <w:jc w:val="center"/>
                    <w:rPr>
                      <w:b/>
                      <w:bCs/>
                      <w:color w:val="auto"/>
                      <w:sz w:val="21"/>
                      <w:szCs w:val="21"/>
                    </w:rPr>
                  </w:pPr>
                  <w:r>
                    <w:rPr>
                      <w:b/>
                      <w:bCs/>
                      <w:color w:val="auto"/>
                      <w:sz w:val="21"/>
                      <w:szCs w:val="21"/>
                    </w:rPr>
                    <w:t>急救措施</w:t>
                  </w:r>
                </w:p>
              </w:tc>
              <w:tc>
                <w:tcPr>
                  <w:tcW w:w="7287" w:type="dxa"/>
                  <w:gridSpan w:val="3"/>
                  <w:noWrap w:val="0"/>
                  <w:vAlign w:val="center"/>
                </w:tcPr>
                <w:p>
                  <w:pPr>
                    <w:snapToGrid w:val="0"/>
                    <w:jc w:val="left"/>
                    <w:rPr>
                      <w:color w:val="auto"/>
                      <w:sz w:val="21"/>
                      <w:szCs w:val="21"/>
                    </w:rPr>
                  </w:pPr>
                  <w:r>
                    <w:rPr>
                      <w:b/>
                      <w:bCs/>
                      <w:color w:val="auto"/>
                      <w:sz w:val="21"/>
                      <w:szCs w:val="21"/>
                    </w:rPr>
                    <w:t>皮肤接触：</w:t>
                  </w:r>
                  <w:r>
                    <w:rPr>
                      <w:color w:val="auto"/>
                      <w:sz w:val="21"/>
                      <w:szCs w:val="21"/>
                    </w:rPr>
                    <w:t>脱去污染的衣着，用大量流动清水清洗。就医。 </w:t>
                  </w:r>
                </w:p>
                <w:p>
                  <w:pPr>
                    <w:snapToGrid w:val="0"/>
                    <w:jc w:val="left"/>
                    <w:rPr>
                      <w:color w:val="auto"/>
                      <w:sz w:val="21"/>
                      <w:szCs w:val="21"/>
                    </w:rPr>
                  </w:pPr>
                  <w:r>
                    <w:rPr>
                      <w:b/>
                      <w:bCs/>
                      <w:color w:val="auto"/>
                      <w:sz w:val="21"/>
                      <w:szCs w:val="21"/>
                    </w:rPr>
                    <w:t>眼接触：</w:t>
                  </w:r>
                  <w:r>
                    <w:rPr>
                      <w:color w:val="auto"/>
                      <w:sz w:val="21"/>
                      <w:szCs w:val="21"/>
                    </w:rPr>
                    <w:t>提起眼睑，用流动清水或生理盐水冲洗。就医；</w:t>
                  </w:r>
                </w:p>
                <w:p>
                  <w:pPr>
                    <w:snapToGrid w:val="0"/>
                    <w:jc w:val="left"/>
                    <w:rPr>
                      <w:color w:val="auto"/>
                      <w:sz w:val="21"/>
                      <w:szCs w:val="21"/>
                    </w:rPr>
                  </w:pPr>
                  <w:r>
                    <w:rPr>
                      <w:b/>
                      <w:bCs/>
                      <w:color w:val="auto"/>
                      <w:sz w:val="21"/>
                      <w:szCs w:val="21"/>
                    </w:rPr>
                    <w:t>吸入：</w:t>
                  </w:r>
                  <w:r>
                    <w:rPr>
                      <w:color w:val="auto"/>
                      <w:sz w:val="21"/>
                      <w:szCs w:val="21"/>
                    </w:rPr>
                    <w:t>迅速脱离现场至空气新鲜处，保持呼吸畅通。如呼吸困难，给输氧。如呼吸停止，立即进行人工呼吸。就医。 </w:t>
                  </w:r>
                </w:p>
                <w:p>
                  <w:pPr>
                    <w:snapToGrid w:val="0"/>
                    <w:jc w:val="left"/>
                    <w:rPr>
                      <w:color w:val="auto"/>
                      <w:sz w:val="21"/>
                      <w:szCs w:val="21"/>
                    </w:rPr>
                  </w:pPr>
                  <w:r>
                    <w:rPr>
                      <w:b/>
                      <w:bCs/>
                      <w:color w:val="auto"/>
                      <w:sz w:val="21"/>
                      <w:szCs w:val="21"/>
                    </w:rPr>
                    <w:t>食用：</w:t>
                  </w:r>
                  <w:r>
                    <w:rPr>
                      <w:color w:val="auto"/>
                      <w:sz w:val="21"/>
                      <w:szCs w:val="21"/>
                    </w:rPr>
                    <w:t>饮适量温水，催吐。就医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784" w:type="dxa"/>
                  <w:shd w:val="clear" w:color="auto" w:fill="DCE6F2" w:themeFill="accent1" w:themeFillTint="32"/>
                  <w:noWrap w:val="0"/>
                  <w:vAlign w:val="center"/>
                </w:tcPr>
                <w:p>
                  <w:pPr>
                    <w:snapToGrid w:val="0"/>
                    <w:jc w:val="center"/>
                    <w:rPr>
                      <w:b/>
                      <w:bCs/>
                      <w:color w:val="auto"/>
                      <w:sz w:val="21"/>
                      <w:szCs w:val="21"/>
                    </w:rPr>
                  </w:pPr>
                  <w:r>
                    <w:rPr>
                      <w:b/>
                      <w:bCs/>
                      <w:color w:val="auto"/>
                      <w:sz w:val="21"/>
                      <w:szCs w:val="21"/>
                    </w:rPr>
                    <w:t>泄露处理</w:t>
                  </w:r>
                </w:p>
              </w:tc>
              <w:tc>
                <w:tcPr>
                  <w:tcW w:w="7287" w:type="dxa"/>
                  <w:gridSpan w:val="3"/>
                  <w:noWrap w:val="0"/>
                  <w:vAlign w:val="center"/>
                </w:tcPr>
                <w:p>
                  <w:pPr>
                    <w:snapToGrid w:val="0"/>
                    <w:jc w:val="left"/>
                    <w:rPr>
                      <w:color w:val="auto"/>
                      <w:sz w:val="21"/>
                      <w:szCs w:val="21"/>
                    </w:rPr>
                  </w:pPr>
                  <w:r>
                    <w:rPr>
                      <w:b/>
                      <w:bCs/>
                      <w:color w:val="auto"/>
                      <w:sz w:val="21"/>
                      <w:szCs w:val="21"/>
                    </w:rPr>
                    <w:t>大量泄露：</w:t>
                  </w:r>
                  <w:r>
                    <w:rPr>
                      <w:color w:val="auto"/>
                      <w:sz w:val="21"/>
                      <w:szCs w:val="21"/>
                    </w:rPr>
                    <w:t>迅速撤离泄漏污染区人员至安全区，并进行隔离，严格限制出入。切断火源。建议应急处理人员戴自给正式呼吸器，穿防毒服。尽可能切断泄漏源。防止流入下水道、排洪沟等限制性空间；</w:t>
                  </w:r>
                </w:p>
                <w:p>
                  <w:pPr>
                    <w:snapToGrid w:val="0"/>
                    <w:jc w:val="left"/>
                    <w:rPr>
                      <w:color w:val="auto"/>
                      <w:sz w:val="21"/>
                      <w:szCs w:val="21"/>
                    </w:rPr>
                  </w:pPr>
                  <w:r>
                    <w:rPr>
                      <w:b/>
                      <w:bCs/>
                      <w:color w:val="auto"/>
                      <w:sz w:val="21"/>
                      <w:szCs w:val="21"/>
                    </w:rPr>
                    <w:t>少量泄漏：</w:t>
                  </w:r>
                  <w:r>
                    <w:rPr>
                      <w:color w:val="auto"/>
                      <w:sz w:val="21"/>
                      <w:szCs w:val="21"/>
                    </w:rPr>
                    <w:t>用砂土或其他不燃材料吸附或吸收，减少挥发。大量泄漏：构筑围堤或挖坑收容。用泵转移至槽车或专用收集器内，回收或运至废物处理场所处置</w:t>
                  </w:r>
                </w:p>
              </w:tc>
            </w:tr>
          </w:tbl>
          <w:p>
            <w:pPr>
              <w:kinsoku w:val="0"/>
              <w:overflowPunct w:val="0"/>
              <w:snapToGrid w:val="0"/>
              <w:spacing w:line="360" w:lineRule="auto"/>
              <w:ind w:firstLine="482" w:firstLineChars="200"/>
              <w:rPr>
                <w:b/>
                <w:bCs/>
                <w:snapToGrid w:val="0"/>
                <w:color w:val="auto"/>
                <w:kern w:val="0"/>
                <w:sz w:val="24"/>
                <w:szCs w:val="24"/>
              </w:rPr>
            </w:pPr>
            <w:r>
              <w:rPr>
                <w:rFonts w:hint="eastAsia"/>
                <w:b/>
                <w:bCs/>
                <w:snapToGrid w:val="0"/>
                <w:color w:val="auto"/>
                <w:kern w:val="0"/>
                <w:sz w:val="24"/>
                <w:szCs w:val="24"/>
                <w:lang w:val="en-US" w:eastAsia="zh-CN"/>
              </w:rPr>
              <w:t>2</w:t>
            </w:r>
            <w:r>
              <w:rPr>
                <w:b/>
                <w:bCs/>
                <w:snapToGrid w:val="0"/>
                <w:color w:val="auto"/>
                <w:kern w:val="0"/>
                <w:sz w:val="24"/>
                <w:szCs w:val="24"/>
              </w:rPr>
              <w:t>）</w:t>
            </w:r>
            <w:r>
              <w:rPr>
                <w:rFonts w:hint="eastAsia"/>
                <w:b/>
                <w:bCs/>
                <w:snapToGrid w:val="0"/>
                <w:color w:val="auto"/>
                <w:kern w:val="0"/>
                <w:sz w:val="24"/>
                <w:szCs w:val="24"/>
                <w:lang w:eastAsia="zh-CN"/>
              </w:rPr>
              <w:t>环保设施风险</w:t>
            </w:r>
            <w:r>
              <w:rPr>
                <w:b/>
                <w:bCs/>
                <w:snapToGrid w:val="0"/>
                <w:color w:val="auto"/>
                <w:kern w:val="0"/>
                <w:sz w:val="24"/>
                <w:szCs w:val="24"/>
              </w:rPr>
              <w:t>识别</w:t>
            </w:r>
          </w:p>
          <w:p>
            <w:pPr>
              <w:adjustRightInd w:val="0"/>
              <w:snapToGrid w:val="0"/>
              <w:spacing w:line="360" w:lineRule="auto"/>
              <w:ind w:firstLine="480" w:firstLineChars="200"/>
              <w:jc w:val="left"/>
              <w:rPr>
                <w:rFonts w:hint="eastAsia" w:ascii="Times New Roman" w:hAnsi="Times New Roman" w:eastAsia="宋体" w:cs="Times New Roman"/>
                <w:color w:val="auto"/>
                <w:sz w:val="24"/>
                <w:szCs w:val="32"/>
                <w:lang w:val="en-US" w:eastAsia="zh-CN"/>
              </w:rPr>
            </w:pPr>
            <w:r>
              <w:rPr>
                <w:rFonts w:hint="default" w:ascii="Times New Roman" w:hAnsi="Times New Roman" w:cs="Times New Roman"/>
                <w:color w:val="auto"/>
                <w:sz w:val="24"/>
                <w:szCs w:val="32"/>
              </w:rPr>
              <w:t>项目环保设施主要为废气处理设施及废水处理设施，当环保设施出现故障时，会产生泄漏风险，将对大气环境及地表水环境造成污染</w:t>
            </w:r>
            <w:r>
              <w:rPr>
                <w:rFonts w:hint="eastAsia" w:ascii="Times New Roman" w:hAnsi="Times New Roman" w:cs="Times New Roman"/>
                <w:color w:val="auto"/>
                <w:sz w:val="24"/>
                <w:szCs w:val="32"/>
                <w:lang w:eastAsia="zh-CN"/>
              </w:rPr>
              <w:t>。</w:t>
            </w:r>
            <w:r>
              <w:rPr>
                <w:bCs/>
                <w:color w:val="auto"/>
                <w:sz w:val="24"/>
                <w:szCs w:val="24"/>
              </w:rPr>
              <w:t>有机废气处理系统未开启、</w:t>
            </w:r>
            <w:r>
              <w:rPr>
                <w:bCs/>
                <w:snapToGrid w:val="0"/>
                <w:color w:val="auto"/>
                <w:kern w:val="0"/>
                <w:sz w:val="24"/>
                <w:szCs w:val="24"/>
              </w:rPr>
              <w:t>活性炭未及时更换，导致有机废气处理系统收集效率低，</w:t>
            </w:r>
            <w:r>
              <w:rPr>
                <w:rFonts w:hint="eastAsia"/>
                <w:bCs/>
                <w:snapToGrid w:val="0"/>
                <w:color w:val="auto"/>
                <w:kern w:val="0"/>
                <w:sz w:val="24"/>
                <w:szCs w:val="24"/>
                <w:lang w:eastAsia="zh-CN"/>
              </w:rPr>
              <w:t>挤出、拉丝</w:t>
            </w:r>
            <w:r>
              <w:rPr>
                <w:bCs/>
                <w:snapToGrid w:val="0"/>
                <w:color w:val="auto"/>
                <w:kern w:val="0"/>
                <w:sz w:val="24"/>
                <w:szCs w:val="24"/>
              </w:rPr>
              <w:t>产生的有机废气未经处理直接外排进入周围大气环境。有机废气事故排放对周围环境造成不利影响，对周围人体健康造成影响；有机废气事故排放可能会对区域环境空气质量造成一定影响。</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color w:val="auto"/>
                <w:sz w:val="24"/>
                <w:szCs w:val="24"/>
              </w:rPr>
            </w:pPr>
            <w:r>
              <w:rPr>
                <w:rFonts w:hint="eastAsia"/>
                <w:b/>
                <w:bCs/>
                <w:snapToGrid w:val="0"/>
                <w:color w:val="auto"/>
                <w:kern w:val="0"/>
                <w:sz w:val="24"/>
                <w:szCs w:val="24"/>
                <w:lang w:val="en-US" w:eastAsia="zh-CN"/>
              </w:rPr>
              <w:t>3</w:t>
            </w:r>
            <w:r>
              <w:rPr>
                <w:b/>
                <w:bCs/>
                <w:snapToGrid w:val="0"/>
                <w:color w:val="auto"/>
                <w:kern w:val="0"/>
                <w:sz w:val="24"/>
                <w:szCs w:val="24"/>
              </w:rPr>
              <w:t>）</w:t>
            </w:r>
            <w:r>
              <w:rPr>
                <w:rFonts w:hint="default" w:ascii="Times New Roman" w:hAnsi="Times New Roman" w:cs="Times New Roman"/>
                <w:color w:val="auto"/>
                <w:sz w:val="24"/>
                <w:szCs w:val="24"/>
              </w:rPr>
              <w:t>生产系统危险性识别</w:t>
            </w:r>
          </w:p>
          <w:p>
            <w:pPr>
              <w:snapToGrid w:val="0"/>
              <w:spacing w:line="360" w:lineRule="auto"/>
              <w:ind w:firstLine="480" w:firstLineChars="200"/>
              <w:rPr>
                <w:rFonts w:hint="eastAsia"/>
                <w:b/>
                <w:bCs/>
                <w:color w:val="auto"/>
                <w:sz w:val="24"/>
                <w:szCs w:val="24"/>
              </w:rPr>
            </w:pPr>
            <w:r>
              <w:rPr>
                <w:rFonts w:hint="default" w:ascii="Times New Roman" w:hAnsi="Times New Roman" w:cs="Times New Roman"/>
                <w:color w:val="auto"/>
                <w:sz w:val="24"/>
                <w:szCs w:val="24"/>
              </w:rPr>
              <w:t>项目生产所使用的</w:t>
            </w:r>
            <w:r>
              <w:rPr>
                <w:rFonts w:hint="eastAsia" w:ascii="Times New Roman" w:hAnsi="Times New Roman" w:cs="Times New Roman"/>
                <w:color w:val="auto"/>
                <w:sz w:val="24"/>
                <w:szCs w:val="24"/>
                <w:lang w:eastAsia="zh-CN"/>
              </w:rPr>
              <w:t>原料产品为塑料，遇明火，电路老化可能会产生火灾</w:t>
            </w:r>
            <w:r>
              <w:rPr>
                <w:rFonts w:hint="default" w:ascii="Times New Roman" w:hAnsi="Times New Roman" w:cs="Times New Roman"/>
                <w:color w:val="auto"/>
                <w:sz w:val="24"/>
                <w:szCs w:val="24"/>
              </w:rPr>
              <w:t>风险</w:t>
            </w:r>
            <w:r>
              <w:rPr>
                <w:rFonts w:hint="eastAsia"/>
                <w:color w:val="auto"/>
                <w:sz w:val="24"/>
                <w:szCs w:val="24"/>
              </w:rPr>
              <w:t>。</w:t>
            </w:r>
            <w:r>
              <w:rPr>
                <w:bCs/>
                <w:snapToGrid w:val="0"/>
                <w:color w:val="auto"/>
                <w:kern w:val="0"/>
                <w:sz w:val="24"/>
                <w:szCs w:val="24"/>
              </w:rPr>
              <w:t>在燃烧过程中会产生大量的</w:t>
            </w:r>
            <w:r>
              <w:rPr>
                <w:color w:val="auto"/>
                <w:sz w:val="24"/>
                <w:szCs w:val="24"/>
              </w:rPr>
              <w:t>CO、CO</w:t>
            </w:r>
            <w:r>
              <w:rPr>
                <w:color w:val="auto"/>
                <w:sz w:val="24"/>
                <w:szCs w:val="24"/>
                <w:vertAlign w:val="subscript"/>
              </w:rPr>
              <w:t>2</w:t>
            </w:r>
            <w:r>
              <w:rPr>
                <w:color w:val="auto"/>
                <w:sz w:val="24"/>
                <w:szCs w:val="24"/>
              </w:rPr>
              <w:t>等有毒有害气体，</w:t>
            </w:r>
            <w:r>
              <w:rPr>
                <w:bCs/>
                <w:snapToGrid w:val="0"/>
                <w:color w:val="auto"/>
                <w:kern w:val="0"/>
                <w:sz w:val="24"/>
                <w:szCs w:val="24"/>
              </w:rPr>
              <w:t>对周围大气环境影响较大。</w:t>
            </w:r>
          </w:p>
          <w:p>
            <w:pPr>
              <w:pStyle w:val="19"/>
              <w:spacing w:after="0" w:line="360" w:lineRule="auto"/>
              <w:ind w:left="0" w:leftChars="0" w:firstLine="482" w:firstLineChars="200"/>
              <w:rPr>
                <w:rFonts w:ascii="Times New Roman" w:hAnsi="Times New Roman"/>
                <w:b/>
                <w:snapToGrid w:val="0"/>
                <w:color w:val="auto"/>
                <w:kern w:val="0"/>
                <w:sz w:val="24"/>
                <w:szCs w:val="24"/>
              </w:rPr>
            </w:pPr>
            <w:r>
              <w:rPr>
                <w:rFonts w:hint="eastAsia" w:ascii="Times New Roman" w:hAnsi="Times New Roman"/>
                <w:b/>
                <w:snapToGrid w:val="0"/>
                <w:color w:val="auto"/>
                <w:kern w:val="0"/>
                <w:sz w:val="24"/>
                <w:szCs w:val="24"/>
                <w:lang w:eastAsia="zh-CN"/>
              </w:rPr>
              <w:t>（</w:t>
            </w:r>
            <w:r>
              <w:rPr>
                <w:rFonts w:hint="eastAsia" w:ascii="Times New Roman" w:hAnsi="Times New Roman"/>
                <w:b/>
                <w:snapToGrid w:val="0"/>
                <w:color w:val="auto"/>
                <w:kern w:val="0"/>
                <w:sz w:val="24"/>
                <w:szCs w:val="24"/>
                <w:lang w:val="en-US" w:eastAsia="zh-CN"/>
              </w:rPr>
              <w:t>5</w:t>
            </w:r>
            <w:r>
              <w:rPr>
                <w:rFonts w:hint="eastAsia" w:ascii="Times New Roman" w:hAnsi="Times New Roman"/>
                <w:b/>
                <w:snapToGrid w:val="0"/>
                <w:color w:val="auto"/>
                <w:kern w:val="0"/>
                <w:sz w:val="24"/>
                <w:szCs w:val="24"/>
                <w:lang w:eastAsia="zh-CN"/>
              </w:rPr>
              <w:t>）</w:t>
            </w:r>
            <w:r>
              <w:rPr>
                <w:rFonts w:ascii="Times New Roman" w:hAnsi="Times New Roman"/>
                <w:b/>
                <w:snapToGrid w:val="0"/>
                <w:color w:val="auto"/>
                <w:kern w:val="0"/>
                <w:sz w:val="24"/>
                <w:szCs w:val="24"/>
              </w:rPr>
              <w:t>风险防范措施</w:t>
            </w:r>
          </w:p>
          <w:p>
            <w:pPr>
              <w:snapToGrid w:val="0"/>
              <w:spacing w:line="360" w:lineRule="auto"/>
              <w:ind w:firstLine="480" w:firstLineChars="200"/>
              <w:rPr>
                <w:bCs/>
                <w:snapToGrid w:val="0"/>
                <w:color w:val="auto"/>
                <w:kern w:val="0"/>
                <w:sz w:val="24"/>
                <w:szCs w:val="24"/>
              </w:rPr>
            </w:pPr>
            <w:r>
              <w:rPr>
                <w:bCs/>
                <w:snapToGrid w:val="0"/>
                <w:color w:val="auto"/>
                <w:kern w:val="0"/>
                <w:sz w:val="24"/>
                <w:szCs w:val="24"/>
              </w:rPr>
              <w:t>为防止各类事故的发生，环评要求应采取以下措施：</w:t>
            </w:r>
          </w:p>
          <w:p>
            <w:pPr>
              <w:snapToGrid w:val="0"/>
              <w:jc w:val="center"/>
              <w:rPr>
                <w:color w:val="auto"/>
                <w:sz w:val="21"/>
                <w:szCs w:val="21"/>
              </w:rPr>
            </w:pPr>
            <w:r>
              <w:rPr>
                <w:b/>
                <w:color w:val="auto"/>
                <w:sz w:val="21"/>
                <w:szCs w:val="21"/>
              </w:rPr>
              <w:t>表4-</w:t>
            </w:r>
            <w:r>
              <w:rPr>
                <w:rFonts w:hint="eastAsia"/>
                <w:b/>
                <w:color w:val="auto"/>
                <w:sz w:val="21"/>
                <w:szCs w:val="21"/>
                <w:lang w:val="en-US" w:eastAsia="zh-CN"/>
              </w:rPr>
              <w:t>17</w:t>
            </w:r>
            <w:r>
              <w:rPr>
                <w:b/>
                <w:color w:val="auto"/>
                <w:sz w:val="21"/>
                <w:szCs w:val="21"/>
              </w:rPr>
              <w:t xml:space="preserve"> 本项目</w:t>
            </w:r>
            <w:r>
              <w:rPr>
                <w:b/>
                <w:snapToGrid w:val="0"/>
                <w:color w:val="auto"/>
                <w:kern w:val="0"/>
                <w:sz w:val="21"/>
                <w:szCs w:val="21"/>
              </w:rPr>
              <w:t>风险防范措施一览表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083"/>
              <w:gridCol w:w="6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shd w:val="clear" w:color="auto" w:fill="DCE6F2" w:themeFill="accent1" w:themeFillTint="32"/>
                  <w:noWrap w:val="0"/>
                  <w:vAlign w:val="center"/>
                </w:tcPr>
                <w:p>
                  <w:pPr>
                    <w:snapToGrid w:val="0"/>
                    <w:jc w:val="center"/>
                    <w:rPr>
                      <w:b/>
                      <w:bCs/>
                      <w:color w:val="auto"/>
                      <w:sz w:val="21"/>
                      <w:szCs w:val="21"/>
                    </w:rPr>
                  </w:pPr>
                  <w:r>
                    <w:rPr>
                      <w:b/>
                      <w:bCs/>
                      <w:color w:val="auto"/>
                      <w:sz w:val="21"/>
                      <w:szCs w:val="21"/>
                    </w:rPr>
                    <w:t>序号</w:t>
                  </w:r>
                </w:p>
              </w:tc>
              <w:tc>
                <w:tcPr>
                  <w:tcW w:w="1093" w:type="dxa"/>
                  <w:shd w:val="clear" w:color="auto" w:fill="DCE6F2" w:themeFill="accent1" w:themeFillTint="32"/>
                  <w:noWrap w:val="0"/>
                  <w:vAlign w:val="center"/>
                </w:tcPr>
                <w:p>
                  <w:pPr>
                    <w:snapToGrid w:val="0"/>
                    <w:jc w:val="center"/>
                    <w:rPr>
                      <w:b/>
                      <w:bCs/>
                      <w:color w:val="auto"/>
                      <w:sz w:val="21"/>
                      <w:szCs w:val="21"/>
                    </w:rPr>
                  </w:pPr>
                  <w:r>
                    <w:rPr>
                      <w:b/>
                      <w:bCs/>
                      <w:color w:val="auto"/>
                      <w:sz w:val="21"/>
                      <w:szCs w:val="21"/>
                    </w:rPr>
                    <w:t>类型</w:t>
                  </w:r>
                </w:p>
              </w:tc>
              <w:tc>
                <w:tcPr>
                  <w:tcW w:w="6914" w:type="dxa"/>
                  <w:shd w:val="clear" w:color="auto" w:fill="DCE6F2" w:themeFill="accent1" w:themeFillTint="32"/>
                  <w:noWrap w:val="0"/>
                  <w:vAlign w:val="center"/>
                </w:tcPr>
                <w:p>
                  <w:pPr>
                    <w:snapToGrid w:val="0"/>
                    <w:jc w:val="center"/>
                    <w:rPr>
                      <w:b/>
                      <w:bCs/>
                      <w:color w:val="auto"/>
                      <w:sz w:val="21"/>
                      <w:szCs w:val="21"/>
                    </w:rPr>
                  </w:pPr>
                  <w:r>
                    <w:rPr>
                      <w:b/>
                      <w:snapToGrid w:val="0"/>
                      <w:color w:val="auto"/>
                      <w:kern w:val="0"/>
                      <w:sz w:val="21"/>
                      <w:szCs w:val="21"/>
                    </w:rPr>
                    <w:t>风险防范措施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91" w:type="dxa"/>
                  <w:noWrap w:val="0"/>
                  <w:vAlign w:val="center"/>
                </w:tcPr>
                <w:p>
                  <w:pPr>
                    <w:snapToGrid w:val="0"/>
                    <w:jc w:val="center"/>
                    <w:rPr>
                      <w:color w:val="auto"/>
                      <w:sz w:val="21"/>
                      <w:szCs w:val="21"/>
                    </w:rPr>
                  </w:pPr>
                  <w:r>
                    <w:rPr>
                      <w:color w:val="auto"/>
                      <w:sz w:val="21"/>
                      <w:szCs w:val="21"/>
                    </w:rPr>
                    <w:t>1</w:t>
                  </w:r>
                </w:p>
              </w:tc>
              <w:tc>
                <w:tcPr>
                  <w:tcW w:w="1093" w:type="dxa"/>
                  <w:noWrap w:val="0"/>
                  <w:vAlign w:val="center"/>
                </w:tcPr>
                <w:p>
                  <w:pPr>
                    <w:snapToGrid w:val="0"/>
                    <w:jc w:val="center"/>
                    <w:rPr>
                      <w:color w:val="auto"/>
                      <w:sz w:val="21"/>
                      <w:szCs w:val="21"/>
                    </w:rPr>
                  </w:pPr>
                  <w:r>
                    <w:rPr>
                      <w:rFonts w:hint="eastAsia"/>
                      <w:bCs/>
                      <w:color w:val="auto"/>
                      <w:sz w:val="21"/>
                      <w:szCs w:val="21"/>
                      <w:lang w:eastAsia="zh-CN"/>
                    </w:rPr>
                    <w:t>机油</w:t>
                  </w:r>
                  <w:r>
                    <w:rPr>
                      <w:color w:val="auto"/>
                      <w:sz w:val="21"/>
                      <w:szCs w:val="21"/>
                    </w:rPr>
                    <w:t>泄漏</w:t>
                  </w:r>
                </w:p>
              </w:tc>
              <w:tc>
                <w:tcPr>
                  <w:tcW w:w="6914" w:type="dxa"/>
                  <w:noWrap w:val="0"/>
                  <w:vAlign w:val="center"/>
                </w:tcPr>
                <w:p>
                  <w:pPr>
                    <w:snapToGrid w:val="0"/>
                    <w:rPr>
                      <w:color w:val="auto"/>
                      <w:sz w:val="21"/>
                      <w:szCs w:val="21"/>
                    </w:rPr>
                  </w:pPr>
                  <w:r>
                    <w:rPr>
                      <w:color w:val="auto"/>
                      <w:sz w:val="21"/>
                      <w:szCs w:val="21"/>
                    </w:rPr>
                    <w:t>厂区储存量小，泄露的</w:t>
                  </w:r>
                  <w:r>
                    <w:rPr>
                      <w:rFonts w:hint="eastAsia"/>
                      <w:color w:val="auto"/>
                      <w:sz w:val="21"/>
                      <w:szCs w:val="21"/>
                      <w:lang w:eastAsia="zh-CN"/>
                    </w:rPr>
                    <w:t>机油</w:t>
                  </w:r>
                  <w:r>
                    <w:rPr>
                      <w:color w:val="auto"/>
                      <w:sz w:val="21"/>
                      <w:szCs w:val="21"/>
                    </w:rPr>
                    <w:t xml:space="preserve">会暂存于金属托盘内，收集后可回用；液体化学品采用专用密闭容器，存放于防渗托盘内，泄露风险低，如有泄露后作为危废处置。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noWrap w:val="0"/>
                  <w:vAlign w:val="center"/>
                </w:tcPr>
                <w:p>
                  <w:pPr>
                    <w:snapToGrid w:val="0"/>
                    <w:jc w:val="center"/>
                    <w:rPr>
                      <w:color w:val="auto"/>
                      <w:sz w:val="21"/>
                      <w:szCs w:val="21"/>
                    </w:rPr>
                  </w:pPr>
                  <w:r>
                    <w:rPr>
                      <w:color w:val="auto"/>
                      <w:sz w:val="21"/>
                      <w:szCs w:val="21"/>
                    </w:rPr>
                    <w:t>2</w:t>
                  </w:r>
                </w:p>
              </w:tc>
              <w:tc>
                <w:tcPr>
                  <w:tcW w:w="1093" w:type="dxa"/>
                  <w:noWrap w:val="0"/>
                  <w:vAlign w:val="center"/>
                </w:tcPr>
                <w:p>
                  <w:pPr>
                    <w:snapToGrid w:val="0"/>
                    <w:jc w:val="center"/>
                    <w:rPr>
                      <w:color w:val="auto"/>
                      <w:sz w:val="21"/>
                      <w:szCs w:val="21"/>
                    </w:rPr>
                  </w:pPr>
                  <w:r>
                    <w:rPr>
                      <w:color w:val="auto"/>
                      <w:sz w:val="21"/>
                      <w:szCs w:val="21"/>
                    </w:rPr>
                    <w:t>火灾</w:t>
                  </w:r>
                </w:p>
              </w:tc>
              <w:tc>
                <w:tcPr>
                  <w:tcW w:w="6914" w:type="dxa"/>
                  <w:noWrap w:val="0"/>
                  <w:vAlign w:val="center"/>
                </w:tcPr>
                <w:p>
                  <w:pPr>
                    <w:snapToGrid w:val="0"/>
                    <w:rPr>
                      <w:color w:val="auto"/>
                      <w:sz w:val="21"/>
                      <w:szCs w:val="21"/>
                    </w:rPr>
                  </w:pPr>
                  <w:r>
                    <w:rPr>
                      <w:color w:val="auto"/>
                      <w:sz w:val="21"/>
                      <w:szCs w:val="21"/>
                    </w:rPr>
                    <w:t>①在液态原材料暂存区、生产车间设置禁止明火的标识；</w:t>
                  </w:r>
                </w:p>
                <w:p>
                  <w:pPr>
                    <w:snapToGrid w:val="0"/>
                    <w:rPr>
                      <w:color w:val="auto"/>
                      <w:sz w:val="21"/>
                      <w:szCs w:val="21"/>
                    </w:rPr>
                  </w:pPr>
                  <w:r>
                    <w:rPr>
                      <w:color w:val="auto"/>
                      <w:sz w:val="21"/>
                      <w:szCs w:val="21"/>
                    </w:rPr>
                    <w:t>②安排专人定期对厂区进行巡查，一旦出现问题，立即进行整改；</w:t>
                  </w:r>
                </w:p>
                <w:p>
                  <w:pPr>
                    <w:snapToGrid w:val="0"/>
                    <w:rPr>
                      <w:color w:val="auto"/>
                      <w:sz w:val="21"/>
                      <w:szCs w:val="21"/>
                    </w:rPr>
                  </w:pPr>
                  <w:r>
                    <w:rPr>
                      <w:color w:val="auto"/>
                      <w:sz w:val="21"/>
                      <w:szCs w:val="21"/>
                    </w:rPr>
                    <w:t>③定期加强对厂区员工的安全操作和火灾防范意识的培训。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91" w:type="dxa"/>
                  <w:noWrap w:val="0"/>
                  <w:vAlign w:val="center"/>
                </w:tcPr>
                <w:p>
                  <w:pPr>
                    <w:snapToGrid w:val="0"/>
                    <w:jc w:val="center"/>
                    <w:rPr>
                      <w:color w:val="auto"/>
                      <w:sz w:val="21"/>
                      <w:szCs w:val="21"/>
                    </w:rPr>
                  </w:pPr>
                  <w:r>
                    <w:rPr>
                      <w:color w:val="auto"/>
                      <w:sz w:val="21"/>
                      <w:szCs w:val="21"/>
                    </w:rPr>
                    <w:t>3</w:t>
                  </w:r>
                </w:p>
              </w:tc>
              <w:tc>
                <w:tcPr>
                  <w:tcW w:w="1093" w:type="dxa"/>
                  <w:noWrap w:val="0"/>
                  <w:vAlign w:val="center"/>
                </w:tcPr>
                <w:p>
                  <w:pPr>
                    <w:snapToGrid w:val="0"/>
                    <w:jc w:val="center"/>
                    <w:rPr>
                      <w:color w:val="auto"/>
                      <w:sz w:val="21"/>
                      <w:szCs w:val="21"/>
                    </w:rPr>
                  </w:pPr>
                  <w:r>
                    <w:rPr>
                      <w:color w:val="auto"/>
                      <w:sz w:val="21"/>
                      <w:szCs w:val="21"/>
                    </w:rPr>
                    <w:t>有机废气事故排放</w:t>
                  </w:r>
                </w:p>
              </w:tc>
              <w:tc>
                <w:tcPr>
                  <w:tcW w:w="6914" w:type="dxa"/>
                  <w:noWrap w:val="0"/>
                  <w:vAlign w:val="center"/>
                </w:tcPr>
                <w:p>
                  <w:pPr>
                    <w:snapToGrid w:val="0"/>
                    <w:rPr>
                      <w:color w:val="auto"/>
                      <w:sz w:val="21"/>
                      <w:szCs w:val="21"/>
                    </w:rPr>
                  </w:pPr>
                  <w:r>
                    <w:rPr>
                      <w:color w:val="auto"/>
                      <w:sz w:val="21"/>
                      <w:szCs w:val="21"/>
                    </w:rPr>
                    <w:t>一旦发现有机废气事故排放，应立即停止生产，然后对有机废气处理装置进行抢修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91" w:type="dxa"/>
                  <w:noWrap w:val="0"/>
                  <w:vAlign w:val="center"/>
                </w:tcPr>
                <w:p>
                  <w:pPr>
                    <w:snapToGrid w:val="0"/>
                    <w:jc w:val="center"/>
                    <w:rPr>
                      <w:rFonts w:hint="eastAsia" w:eastAsia="宋体"/>
                      <w:color w:val="auto"/>
                      <w:sz w:val="21"/>
                      <w:szCs w:val="21"/>
                      <w:lang w:val="en-US" w:eastAsia="zh-CN"/>
                    </w:rPr>
                  </w:pPr>
                  <w:r>
                    <w:rPr>
                      <w:rFonts w:hint="eastAsia"/>
                      <w:color w:val="auto"/>
                      <w:sz w:val="21"/>
                      <w:szCs w:val="21"/>
                      <w:lang w:val="en-US" w:eastAsia="zh-CN"/>
                    </w:rPr>
                    <w:t>4</w:t>
                  </w:r>
                </w:p>
              </w:tc>
              <w:tc>
                <w:tcPr>
                  <w:tcW w:w="1093" w:type="dxa"/>
                  <w:noWrap w:val="0"/>
                  <w:vAlign w:val="center"/>
                </w:tcPr>
                <w:p>
                  <w:pPr>
                    <w:keepNext w:val="0"/>
                    <w:keepLines w:val="0"/>
                    <w:pageBreakBefore w:val="0"/>
                    <w:kinsoku/>
                    <w:wordWrap/>
                    <w:overflowPunct/>
                    <w:topLinePunct w:val="0"/>
                    <w:autoSpaceDE/>
                    <w:autoSpaceDN/>
                    <w:bidi w:val="0"/>
                    <w:snapToGrid w:val="0"/>
                    <w:spacing w:line="240" w:lineRule="auto"/>
                    <w:ind w:right="0" w:rightChars="0"/>
                    <w:jc w:val="center"/>
                    <w:textAlignment w:val="auto"/>
                    <w:rPr>
                      <w:color w:val="auto"/>
                      <w:sz w:val="21"/>
                      <w:szCs w:val="21"/>
                    </w:rPr>
                  </w:pPr>
                  <w:r>
                    <w:rPr>
                      <w:rFonts w:hint="eastAsia"/>
                      <w:color w:val="auto"/>
                      <w:lang w:eastAsia="zh-CN"/>
                    </w:rPr>
                    <w:t>污水泄露事故</w:t>
                  </w:r>
                </w:p>
              </w:tc>
              <w:tc>
                <w:tcPr>
                  <w:tcW w:w="6914" w:type="dxa"/>
                  <w:noWrap w:val="0"/>
                  <w:vAlign w:val="center"/>
                </w:tcPr>
                <w:p>
                  <w:pPr>
                    <w:tabs>
                      <w:tab w:val="left" w:pos="1440"/>
                      <w:tab w:val="left" w:pos="1800"/>
                    </w:tabs>
                    <w:adjustRightInd w:val="0"/>
                    <w:snapToGrid w:val="0"/>
                    <w:spacing w:line="240" w:lineRule="auto"/>
                    <w:rPr>
                      <w:rFonts w:hint="eastAsia"/>
                      <w:color w:val="auto"/>
                      <w:sz w:val="21"/>
                      <w:szCs w:val="21"/>
                    </w:rPr>
                  </w:pPr>
                  <w:r>
                    <w:rPr>
                      <w:rFonts w:hint="eastAsia"/>
                      <w:color w:val="auto"/>
                      <w:sz w:val="21"/>
                      <w:szCs w:val="21"/>
                      <w:lang w:eastAsia="zh-CN"/>
                    </w:rPr>
                    <w:t>（</w:t>
                  </w:r>
                  <w:r>
                    <w:rPr>
                      <w:rFonts w:hint="eastAsia"/>
                      <w:color w:val="auto"/>
                      <w:sz w:val="21"/>
                      <w:szCs w:val="21"/>
                      <w:lang w:val="en-US" w:eastAsia="zh-CN"/>
                    </w:rPr>
                    <w:t>1</w:t>
                  </w:r>
                  <w:r>
                    <w:rPr>
                      <w:rFonts w:hint="eastAsia"/>
                      <w:color w:val="auto"/>
                      <w:sz w:val="21"/>
                      <w:szCs w:val="21"/>
                      <w:lang w:eastAsia="zh-CN"/>
                    </w:rPr>
                    <w:t>）</w:t>
                  </w:r>
                  <w:r>
                    <w:rPr>
                      <w:rFonts w:hint="eastAsia"/>
                      <w:color w:val="auto"/>
                      <w:sz w:val="21"/>
                      <w:szCs w:val="21"/>
                    </w:rPr>
                    <w:t>加强污水处理站的日常运行管理， 建立健全应急预案体系、环保管理机制和各项环保规章制度，落实岗位环保责任制，加强环境风险防范工作，防止事故排放导致环境问题。</w:t>
                  </w:r>
                </w:p>
                <w:p>
                  <w:pPr>
                    <w:tabs>
                      <w:tab w:val="left" w:pos="1440"/>
                      <w:tab w:val="left" w:pos="1800"/>
                    </w:tabs>
                    <w:adjustRightInd w:val="0"/>
                    <w:snapToGrid w:val="0"/>
                    <w:spacing w:line="240" w:lineRule="auto"/>
                    <w:rPr>
                      <w:rFonts w:hint="eastAsia"/>
                      <w:color w:val="auto"/>
                      <w:sz w:val="21"/>
                      <w:szCs w:val="21"/>
                    </w:rPr>
                  </w:pPr>
                  <w:r>
                    <w:rPr>
                      <w:rFonts w:hint="eastAsia"/>
                      <w:color w:val="auto"/>
                      <w:sz w:val="21"/>
                      <w:szCs w:val="21"/>
                      <w:lang w:eastAsia="zh-CN"/>
                    </w:rPr>
                    <w:t>（</w:t>
                  </w:r>
                  <w:r>
                    <w:rPr>
                      <w:rFonts w:hint="eastAsia"/>
                      <w:color w:val="auto"/>
                      <w:sz w:val="21"/>
                      <w:szCs w:val="21"/>
                      <w:lang w:val="en-US" w:eastAsia="zh-CN"/>
                    </w:rPr>
                    <w:t>2</w:t>
                  </w:r>
                  <w:r>
                    <w:rPr>
                      <w:rFonts w:hint="eastAsia"/>
                      <w:color w:val="auto"/>
                      <w:sz w:val="21"/>
                      <w:szCs w:val="21"/>
                      <w:lang w:eastAsia="zh-CN"/>
                    </w:rPr>
                    <w:t>）</w:t>
                  </w:r>
                  <w:r>
                    <w:rPr>
                      <w:rFonts w:hint="eastAsia"/>
                      <w:color w:val="auto"/>
                      <w:sz w:val="21"/>
                      <w:szCs w:val="21"/>
                    </w:rPr>
                    <w:t>项目废水处理系统主要设备和关键设备都配备了备用设备，一旦设备出现故障或出水水质不稳定立即更换处理设备。电源配备双电源，应急电源能在断电后 20 秒内启动，确保设备不断电。</w:t>
                  </w:r>
                </w:p>
                <w:p>
                  <w:pPr>
                    <w:tabs>
                      <w:tab w:val="left" w:pos="1440"/>
                      <w:tab w:val="left" w:pos="1800"/>
                    </w:tabs>
                    <w:adjustRightInd w:val="0"/>
                    <w:snapToGrid w:val="0"/>
                    <w:spacing w:line="240" w:lineRule="auto"/>
                    <w:rPr>
                      <w:color w:val="auto"/>
                      <w:sz w:val="21"/>
                      <w:szCs w:val="21"/>
                    </w:rPr>
                  </w:pPr>
                  <w:r>
                    <w:rPr>
                      <w:rFonts w:hint="eastAsia"/>
                      <w:color w:val="auto"/>
                      <w:sz w:val="21"/>
                      <w:szCs w:val="21"/>
                      <w:lang w:eastAsia="zh-CN"/>
                    </w:rPr>
                    <w:t>（</w:t>
                  </w:r>
                  <w:r>
                    <w:rPr>
                      <w:rFonts w:hint="eastAsia"/>
                      <w:color w:val="auto"/>
                      <w:sz w:val="21"/>
                      <w:szCs w:val="21"/>
                      <w:lang w:val="en-US" w:eastAsia="zh-CN"/>
                    </w:rPr>
                    <w:t>3</w:t>
                  </w:r>
                  <w:r>
                    <w:rPr>
                      <w:rFonts w:hint="eastAsia"/>
                      <w:color w:val="auto"/>
                      <w:sz w:val="21"/>
                      <w:szCs w:val="21"/>
                      <w:lang w:eastAsia="zh-CN"/>
                    </w:rPr>
                    <w:t>）</w:t>
                  </w:r>
                  <w:r>
                    <w:rPr>
                      <w:rFonts w:hint="eastAsia"/>
                      <w:color w:val="auto"/>
                      <w:sz w:val="21"/>
                      <w:szCs w:val="21"/>
                    </w:rPr>
                    <w:t>污水处理站发生事故停运时，应将污水立即引入污水处理站事故应急池暂存，并对污水处理站进行紧急抢修，</w:t>
                  </w:r>
                  <w:r>
                    <w:rPr>
                      <w:rFonts w:hint="eastAsia"/>
                      <w:color w:val="auto"/>
                      <w:sz w:val="21"/>
                      <w:szCs w:val="21"/>
                      <w:lang w:val="en-US" w:eastAsia="zh-CN"/>
                    </w:rPr>
                    <w:t>必要时安排吸污车将污水外运处理，</w:t>
                  </w:r>
                  <w:r>
                    <w:rPr>
                      <w:rFonts w:hint="eastAsia"/>
                      <w:color w:val="auto"/>
                      <w:sz w:val="21"/>
                      <w:szCs w:val="21"/>
                      <w:lang w:eastAsia="zh-CN"/>
                    </w:rPr>
                    <w:t>确保</w:t>
                  </w:r>
                  <w:r>
                    <w:rPr>
                      <w:rFonts w:hint="eastAsia"/>
                      <w:color w:val="auto"/>
                      <w:sz w:val="21"/>
                      <w:szCs w:val="21"/>
                    </w:rPr>
                    <w:t>污水</w:t>
                  </w:r>
                  <w:r>
                    <w:rPr>
                      <w:rFonts w:hint="eastAsia"/>
                      <w:color w:val="auto"/>
                      <w:sz w:val="21"/>
                      <w:szCs w:val="21"/>
                      <w:lang w:val="en-US" w:eastAsia="zh-CN"/>
                    </w:rPr>
                    <w:t>不外排</w:t>
                  </w:r>
                  <w:r>
                    <w:rPr>
                      <w:rFonts w:hint="eastAsia"/>
                      <w:color w:val="auto"/>
                      <w:sz w:val="21"/>
                      <w:szCs w:val="21"/>
                    </w:rPr>
                    <w:t>。</w:t>
                  </w:r>
                </w:p>
              </w:tc>
            </w:tr>
          </w:tbl>
          <w:p>
            <w:pPr>
              <w:snapToGrid w:val="0"/>
              <w:spacing w:line="360" w:lineRule="auto"/>
              <w:ind w:firstLine="482" w:firstLineChars="200"/>
              <w:rPr>
                <w:b/>
                <w:snapToGrid w:val="0"/>
                <w:color w:val="auto"/>
                <w:kern w:val="0"/>
                <w:sz w:val="24"/>
                <w:szCs w:val="24"/>
              </w:rPr>
            </w:pPr>
            <w:r>
              <w:rPr>
                <w:rFonts w:hint="eastAsia"/>
                <w:b/>
                <w:snapToGrid w:val="0"/>
                <w:color w:val="auto"/>
                <w:kern w:val="0"/>
                <w:sz w:val="24"/>
                <w:szCs w:val="24"/>
                <w:lang w:eastAsia="zh-CN"/>
              </w:rPr>
              <w:t>（</w:t>
            </w:r>
            <w:r>
              <w:rPr>
                <w:rFonts w:hint="eastAsia"/>
                <w:b/>
                <w:snapToGrid w:val="0"/>
                <w:color w:val="auto"/>
                <w:kern w:val="0"/>
                <w:sz w:val="24"/>
                <w:szCs w:val="24"/>
                <w:lang w:val="en-US" w:eastAsia="zh-CN"/>
              </w:rPr>
              <w:t>6</w:t>
            </w:r>
            <w:r>
              <w:rPr>
                <w:rFonts w:hint="eastAsia"/>
                <w:b/>
                <w:snapToGrid w:val="0"/>
                <w:color w:val="auto"/>
                <w:kern w:val="0"/>
                <w:sz w:val="24"/>
                <w:szCs w:val="24"/>
                <w:lang w:eastAsia="zh-CN"/>
              </w:rPr>
              <w:t>）</w:t>
            </w:r>
            <w:r>
              <w:rPr>
                <w:b/>
                <w:snapToGrid w:val="0"/>
                <w:color w:val="auto"/>
                <w:kern w:val="0"/>
                <w:sz w:val="24"/>
                <w:szCs w:val="24"/>
              </w:rPr>
              <w:t>环境风险应急预案</w:t>
            </w:r>
          </w:p>
          <w:p>
            <w:pPr>
              <w:snapToGrid w:val="0"/>
              <w:spacing w:line="360" w:lineRule="auto"/>
              <w:ind w:firstLine="480" w:firstLineChars="200"/>
              <w:rPr>
                <w:color w:val="auto"/>
                <w:sz w:val="24"/>
                <w:szCs w:val="24"/>
              </w:rPr>
            </w:pPr>
            <w:r>
              <w:rPr>
                <w:bCs/>
                <w:snapToGrid w:val="0"/>
                <w:color w:val="auto"/>
                <w:kern w:val="0"/>
                <w:sz w:val="24"/>
                <w:szCs w:val="24"/>
              </w:rPr>
              <w:t>建设单位应完善换风险事故应急救援预案，建立环境风险事故报警系统，确保各种通讯工具处于良好状态，制定标准的报警方法和程序并对员工进行紧紧急事态的培训；同时，成立专业救援队伍，平时做好救援队伍的组织、训练和演练各种，并对员工进行呼救和自救的培训。应急预案见下表。</w:t>
            </w:r>
          </w:p>
          <w:p>
            <w:pPr>
              <w:snapToGrid w:val="0"/>
              <w:jc w:val="center"/>
              <w:rPr>
                <w:b/>
                <w:color w:val="auto"/>
                <w:sz w:val="21"/>
                <w:szCs w:val="21"/>
              </w:rPr>
            </w:pPr>
            <w:r>
              <w:rPr>
                <w:b/>
                <w:color w:val="auto"/>
                <w:sz w:val="21"/>
                <w:szCs w:val="21"/>
              </w:rPr>
              <w:t xml:space="preserve"> 表4-</w:t>
            </w:r>
            <w:r>
              <w:rPr>
                <w:rFonts w:hint="eastAsia"/>
                <w:b/>
                <w:color w:val="auto"/>
                <w:sz w:val="21"/>
                <w:szCs w:val="21"/>
                <w:lang w:val="en-US" w:eastAsia="zh-CN"/>
              </w:rPr>
              <w:t xml:space="preserve">18 </w:t>
            </w:r>
            <w:r>
              <w:rPr>
                <w:b/>
                <w:color w:val="auto"/>
                <w:sz w:val="21"/>
                <w:szCs w:val="21"/>
              </w:rPr>
              <w:t>环境风险突发事故应急预案</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861"/>
              <w:gridCol w:w="6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8" w:type="dxa"/>
                  <w:shd w:val="clear" w:color="auto" w:fill="DCE6F2" w:themeFill="accent1" w:themeFillTint="32"/>
                  <w:noWrap w:val="0"/>
                  <w:vAlign w:val="center"/>
                </w:tcPr>
                <w:p>
                  <w:pPr>
                    <w:snapToGrid w:val="0"/>
                    <w:jc w:val="center"/>
                    <w:rPr>
                      <w:b/>
                      <w:bCs/>
                      <w:color w:val="auto"/>
                      <w:sz w:val="21"/>
                      <w:szCs w:val="21"/>
                    </w:rPr>
                  </w:pPr>
                  <w:r>
                    <w:rPr>
                      <w:b/>
                      <w:bCs/>
                      <w:color w:val="auto"/>
                      <w:sz w:val="21"/>
                      <w:szCs w:val="21"/>
                    </w:rPr>
                    <w:t>序号</w:t>
                  </w:r>
                </w:p>
              </w:tc>
              <w:tc>
                <w:tcPr>
                  <w:tcW w:w="1959" w:type="dxa"/>
                  <w:shd w:val="clear" w:color="auto" w:fill="DCE6F2" w:themeFill="accent1" w:themeFillTint="32"/>
                  <w:noWrap w:val="0"/>
                  <w:vAlign w:val="center"/>
                </w:tcPr>
                <w:p>
                  <w:pPr>
                    <w:snapToGrid w:val="0"/>
                    <w:jc w:val="center"/>
                    <w:rPr>
                      <w:b/>
                      <w:bCs/>
                      <w:color w:val="auto"/>
                      <w:sz w:val="21"/>
                      <w:szCs w:val="21"/>
                    </w:rPr>
                  </w:pPr>
                  <w:r>
                    <w:rPr>
                      <w:b/>
                      <w:bCs/>
                      <w:color w:val="auto"/>
                      <w:sz w:val="21"/>
                      <w:szCs w:val="21"/>
                    </w:rPr>
                    <w:t>项目</w:t>
                  </w:r>
                </w:p>
              </w:tc>
              <w:tc>
                <w:tcPr>
                  <w:tcW w:w="6404" w:type="dxa"/>
                  <w:shd w:val="clear" w:color="auto" w:fill="DCE6F2" w:themeFill="accent1" w:themeFillTint="32"/>
                  <w:noWrap w:val="0"/>
                  <w:vAlign w:val="center"/>
                </w:tcPr>
                <w:p>
                  <w:pPr>
                    <w:snapToGrid w:val="0"/>
                    <w:jc w:val="center"/>
                    <w:rPr>
                      <w:b/>
                      <w:bCs/>
                      <w:color w:val="auto"/>
                      <w:sz w:val="21"/>
                      <w:szCs w:val="21"/>
                    </w:rPr>
                  </w:pPr>
                  <w:r>
                    <w:rPr>
                      <w:b/>
                      <w:bCs/>
                      <w:color w:val="auto"/>
                      <w:sz w:val="21"/>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08" w:type="dxa"/>
                  <w:noWrap w:val="0"/>
                  <w:vAlign w:val="center"/>
                </w:tcPr>
                <w:p>
                  <w:pPr>
                    <w:snapToGrid w:val="0"/>
                    <w:jc w:val="center"/>
                    <w:rPr>
                      <w:color w:val="auto"/>
                      <w:sz w:val="21"/>
                      <w:szCs w:val="21"/>
                    </w:rPr>
                  </w:pPr>
                  <w:r>
                    <w:rPr>
                      <w:color w:val="auto"/>
                      <w:sz w:val="21"/>
                      <w:szCs w:val="21"/>
                    </w:rPr>
                    <w:t>1</w:t>
                  </w:r>
                </w:p>
              </w:tc>
              <w:tc>
                <w:tcPr>
                  <w:tcW w:w="1959" w:type="dxa"/>
                  <w:noWrap w:val="0"/>
                  <w:vAlign w:val="center"/>
                </w:tcPr>
                <w:p>
                  <w:pPr>
                    <w:snapToGrid w:val="0"/>
                    <w:jc w:val="center"/>
                    <w:rPr>
                      <w:color w:val="auto"/>
                      <w:sz w:val="21"/>
                      <w:szCs w:val="21"/>
                    </w:rPr>
                  </w:pPr>
                  <w:r>
                    <w:rPr>
                      <w:color w:val="auto"/>
                      <w:sz w:val="21"/>
                      <w:szCs w:val="21"/>
                    </w:rPr>
                    <w:t>总则</w:t>
                  </w:r>
                </w:p>
              </w:tc>
              <w:tc>
                <w:tcPr>
                  <w:tcW w:w="6404" w:type="dxa"/>
                  <w:noWrap w:val="0"/>
                  <w:vAlign w:val="center"/>
                </w:tcPr>
                <w:p>
                  <w:pPr>
                    <w:snapToGrid w:val="0"/>
                    <w:jc w:val="left"/>
                    <w:rPr>
                      <w:color w:val="auto"/>
                      <w:sz w:val="21"/>
                      <w:szCs w:val="21"/>
                    </w:rPr>
                  </w:pPr>
                  <w:r>
                    <w:rPr>
                      <w:color w:val="auto"/>
                      <w:sz w:val="21"/>
                      <w:szCs w:val="21"/>
                    </w:rPr>
                    <w:t>详细说明危险源类型、数量、分布及其对环境的风险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8" w:type="dxa"/>
                  <w:noWrap w:val="0"/>
                  <w:vAlign w:val="center"/>
                </w:tcPr>
                <w:p>
                  <w:pPr>
                    <w:snapToGrid w:val="0"/>
                    <w:jc w:val="center"/>
                    <w:rPr>
                      <w:color w:val="auto"/>
                      <w:sz w:val="21"/>
                      <w:szCs w:val="21"/>
                    </w:rPr>
                  </w:pPr>
                  <w:r>
                    <w:rPr>
                      <w:color w:val="auto"/>
                      <w:sz w:val="21"/>
                      <w:szCs w:val="21"/>
                    </w:rPr>
                    <w:t>2</w:t>
                  </w:r>
                </w:p>
              </w:tc>
              <w:tc>
                <w:tcPr>
                  <w:tcW w:w="1959" w:type="dxa"/>
                  <w:noWrap w:val="0"/>
                  <w:vAlign w:val="center"/>
                </w:tcPr>
                <w:p>
                  <w:pPr>
                    <w:snapToGrid w:val="0"/>
                    <w:jc w:val="center"/>
                    <w:rPr>
                      <w:color w:val="auto"/>
                      <w:sz w:val="21"/>
                      <w:szCs w:val="21"/>
                    </w:rPr>
                  </w:pPr>
                  <w:r>
                    <w:rPr>
                      <w:color w:val="auto"/>
                      <w:sz w:val="21"/>
                      <w:szCs w:val="21"/>
                    </w:rPr>
                    <w:t>应急计划区</w:t>
                  </w:r>
                </w:p>
              </w:tc>
              <w:tc>
                <w:tcPr>
                  <w:tcW w:w="6404" w:type="dxa"/>
                  <w:noWrap w:val="0"/>
                  <w:vAlign w:val="center"/>
                </w:tcPr>
                <w:p>
                  <w:pPr>
                    <w:snapToGrid w:val="0"/>
                    <w:jc w:val="left"/>
                    <w:rPr>
                      <w:color w:val="auto"/>
                      <w:sz w:val="21"/>
                      <w:szCs w:val="21"/>
                    </w:rPr>
                  </w:pPr>
                  <w:r>
                    <w:rPr>
                      <w:color w:val="auto"/>
                      <w:sz w:val="21"/>
                      <w:szCs w:val="21"/>
                    </w:rPr>
                    <w:t>环境保护目标、储存场所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8" w:type="dxa"/>
                  <w:noWrap w:val="0"/>
                  <w:vAlign w:val="center"/>
                </w:tcPr>
                <w:p>
                  <w:pPr>
                    <w:snapToGrid w:val="0"/>
                    <w:jc w:val="center"/>
                    <w:rPr>
                      <w:color w:val="auto"/>
                      <w:sz w:val="21"/>
                      <w:szCs w:val="21"/>
                    </w:rPr>
                  </w:pPr>
                  <w:r>
                    <w:rPr>
                      <w:color w:val="auto"/>
                      <w:sz w:val="21"/>
                      <w:szCs w:val="21"/>
                    </w:rPr>
                    <w:t>3</w:t>
                  </w:r>
                </w:p>
              </w:tc>
              <w:tc>
                <w:tcPr>
                  <w:tcW w:w="1959" w:type="dxa"/>
                  <w:noWrap w:val="0"/>
                  <w:vAlign w:val="center"/>
                </w:tcPr>
                <w:p>
                  <w:pPr>
                    <w:snapToGrid w:val="0"/>
                    <w:jc w:val="center"/>
                    <w:rPr>
                      <w:color w:val="auto"/>
                      <w:sz w:val="21"/>
                      <w:szCs w:val="21"/>
                    </w:rPr>
                  </w:pPr>
                  <w:r>
                    <w:rPr>
                      <w:color w:val="auto"/>
                      <w:sz w:val="21"/>
                      <w:szCs w:val="21"/>
                    </w:rPr>
                    <w:t>应急组织</w:t>
                  </w:r>
                </w:p>
              </w:tc>
              <w:tc>
                <w:tcPr>
                  <w:tcW w:w="6404" w:type="dxa"/>
                  <w:noWrap w:val="0"/>
                  <w:vAlign w:val="center"/>
                </w:tcPr>
                <w:p>
                  <w:pPr>
                    <w:snapToGrid w:val="0"/>
                    <w:jc w:val="left"/>
                    <w:rPr>
                      <w:color w:val="auto"/>
                      <w:sz w:val="21"/>
                      <w:szCs w:val="21"/>
                    </w:rPr>
                  </w:pPr>
                  <w:r>
                    <w:rPr>
                      <w:color w:val="auto"/>
                      <w:sz w:val="21"/>
                      <w:szCs w:val="21"/>
                    </w:rPr>
                    <w:t>建设单位成立应急指挥小组，由相关干部人员担任小组长，负责现场全面指挥，专业救援队伍负责事故控制、疏散、救援和善后处理，事故临近地区相关部门实施全部工作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708" w:type="dxa"/>
                  <w:noWrap w:val="0"/>
                  <w:vAlign w:val="center"/>
                </w:tcPr>
                <w:p>
                  <w:pPr>
                    <w:snapToGrid w:val="0"/>
                    <w:jc w:val="center"/>
                    <w:rPr>
                      <w:color w:val="auto"/>
                      <w:sz w:val="21"/>
                      <w:szCs w:val="21"/>
                    </w:rPr>
                  </w:pPr>
                  <w:r>
                    <w:rPr>
                      <w:color w:val="auto"/>
                      <w:sz w:val="21"/>
                      <w:szCs w:val="21"/>
                    </w:rPr>
                    <w:t>4</w:t>
                  </w:r>
                </w:p>
              </w:tc>
              <w:tc>
                <w:tcPr>
                  <w:tcW w:w="1959" w:type="dxa"/>
                  <w:noWrap w:val="0"/>
                  <w:vAlign w:val="center"/>
                </w:tcPr>
                <w:p>
                  <w:pPr>
                    <w:snapToGrid w:val="0"/>
                    <w:jc w:val="center"/>
                    <w:rPr>
                      <w:color w:val="auto"/>
                      <w:sz w:val="21"/>
                      <w:szCs w:val="21"/>
                    </w:rPr>
                  </w:pPr>
                  <w:r>
                    <w:rPr>
                      <w:color w:val="auto"/>
                      <w:sz w:val="21"/>
                      <w:szCs w:val="21"/>
                    </w:rPr>
                    <w:t>应急状态分类应急响应程序</w:t>
                  </w:r>
                </w:p>
              </w:tc>
              <w:tc>
                <w:tcPr>
                  <w:tcW w:w="6404" w:type="dxa"/>
                  <w:noWrap w:val="0"/>
                  <w:vAlign w:val="center"/>
                </w:tcPr>
                <w:p>
                  <w:pPr>
                    <w:snapToGrid w:val="0"/>
                    <w:jc w:val="left"/>
                    <w:rPr>
                      <w:color w:val="auto"/>
                      <w:sz w:val="21"/>
                      <w:szCs w:val="21"/>
                    </w:rPr>
                  </w:pPr>
                  <w:r>
                    <w:rPr>
                      <w:color w:val="auto"/>
                      <w:sz w:val="21"/>
                      <w:szCs w:val="21"/>
                    </w:rPr>
                    <w:t>规定环境风险事故的级别及相应的应急状态分类，以此制定相应的应急响应程序。一旦发生事故，相关人员需立即拨打110报警电话，并及时通知周围居民，以便相关部门第一时间组织施救，防止事故环境危害的扩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08" w:type="dxa"/>
                  <w:noWrap w:val="0"/>
                  <w:vAlign w:val="center"/>
                </w:tcPr>
                <w:p>
                  <w:pPr>
                    <w:snapToGrid w:val="0"/>
                    <w:jc w:val="center"/>
                    <w:rPr>
                      <w:color w:val="auto"/>
                      <w:sz w:val="21"/>
                      <w:szCs w:val="21"/>
                    </w:rPr>
                  </w:pPr>
                  <w:r>
                    <w:rPr>
                      <w:color w:val="auto"/>
                      <w:sz w:val="21"/>
                      <w:szCs w:val="21"/>
                    </w:rPr>
                    <w:t>5</w:t>
                  </w:r>
                </w:p>
              </w:tc>
              <w:tc>
                <w:tcPr>
                  <w:tcW w:w="1959" w:type="dxa"/>
                  <w:noWrap w:val="0"/>
                  <w:vAlign w:val="center"/>
                </w:tcPr>
                <w:p>
                  <w:pPr>
                    <w:snapToGrid w:val="0"/>
                    <w:jc w:val="center"/>
                    <w:rPr>
                      <w:color w:val="auto"/>
                      <w:sz w:val="21"/>
                      <w:szCs w:val="21"/>
                    </w:rPr>
                  </w:pPr>
                  <w:r>
                    <w:rPr>
                      <w:color w:val="auto"/>
                      <w:sz w:val="21"/>
                      <w:szCs w:val="21"/>
                    </w:rPr>
                    <w:t>应急设施</w:t>
                  </w:r>
                </w:p>
                <w:p>
                  <w:pPr>
                    <w:snapToGrid w:val="0"/>
                    <w:jc w:val="center"/>
                    <w:rPr>
                      <w:color w:val="auto"/>
                      <w:sz w:val="21"/>
                      <w:szCs w:val="21"/>
                    </w:rPr>
                  </w:pPr>
                  <w:r>
                    <w:rPr>
                      <w:color w:val="auto"/>
                      <w:sz w:val="21"/>
                      <w:szCs w:val="21"/>
                    </w:rPr>
                    <w:t>设备与材料</w:t>
                  </w:r>
                </w:p>
              </w:tc>
              <w:tc>
                <w:tcPr>
                  <w:tcW w:w="6404" w:type="dxa"/>
                  <w:noWrap w:val="0"/>
                  <w:vAlign w:val="center"/>
                </w:tcPr>
                <w:p>
                  <w:pPr>
                    <w:snapToGrid w:val="0"/>
                    <w:jc w:val="left"/>
                    <w:rPr>
                      <w:color w:val="auto"/>
                      <w:sz w:val="21"/>
                      <w:szCs w:val="21"/>
                    </w:rPr>
                  </w:pPr>
                  <w:r>
                    <w:rPr>
                      <w:color w:val="auto"/>
                      <w:sz w:val="21"/>
                      <w:szCs w:val="21"/>
                    </w:rPr>
                    <w:t>事故的应急设施、设备与材料等；防有害物质外溢、扩散；中毒人员急救所用的一些药品、器材；必要的防毒面具。在厂区内外设置多个消防栓。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08" w:type="dxa"/>
                  <w:noWrap w:val="0"/>
                  <w:vAlign w:val="center"/>
                </w:tcPr>
                <w:p>
                  <w:pPr>
                    <w:snapToGrid w:val="0"/>
                    <w:jc w:val="center"/>
                    <w:rPr>
                      <w:color w:val="auto"/>
                      <w:sz w:val="21"/>
                      <w:szCs w:val="21"/>
                    </w:rPr>
                  </w:pPr>
                  <w:r>
                    <w:rPr>
                      <w:color w:val="auto"/>
                      <w:sz w:val="21"/>
                      <w:szCs w:val="21"/>
                    </w:rPr>
                    <w:t>6</w:t>
                  </w:r>
                </w:p>
              </w:tc>
              <w:tc>
                <w:tcPr>
                  <w:tcW w:w="1959" w:type="dxa"/>
                  <w:noWrap w:val="0"/>
                  <w:vAlign w:val="center"/>
                </w:tcPr>
                <w:p>
                  <w:pPr>
                    <w:snapToGrid w:val="0"/>
                    <w:jc w:val="center"/>
                    <w:rPr>
                      <w:color w:val="auto"/>
                      <w:sz w:val="21"/>
                      <w:szCs w:val="21"/>
                    </w:rPr>
                  </w:pPr>
                  <w:r>
                    <w:rPr>
                      <w:color w:val="auto"/>
                      <w:sz w:val="21"/>
                      <w:szCs w:val="21"/>
                    </w:rPr>
                    <w:t>应急通讯</w:t>
                  </w:r>
                </w:p>
                <w:p>
                  <w:pPr>
                    <w:snapToGrid w:val="0"/>
                    <w:jc w:val="center"/>
                    <w:rPr>
                      <w:color w:val="auto"/>
                      <w:sz w:val="21"/>
                      <w:szCs w:val="21"/>
                    </w:rPr>
                  </w:pPr>
                  <w:r>
                    <w:rPr>
                      <w:color w:val="auto"/>
                      <w:sz w:val="21"/>
                      <w:szCs w:val="21"/>
                    </w:rPr>
                    <w:t>通告与交通</w:t>
                  </w:r>
                </w:p>
              </w:tc>
              <w:tc>
                <w:tcPr>
                  <w:tcW w:w="6404" w:type="dxa"/>
                  <w:noWrap w:val="0"/>
                  <w:vAlign w:val="center"/>
                </w:tcPr>
                <w:p>
                  <w:pPr>
                    <w:snapToGrid w:val="0"/>
                    <w:jc w:val="left"/>
                    <w:rPr>
                      <w:color w:val="auto"/>
                      <w:sz w:val="21"/>
                      <w:szCs w:val="21"/>
                    </w:rPr>
                  </w:pPr>
                  <w:r>
                    <w:rPr>
                      <w:color w:val="auto"/>
                      <w:sz w:val="21"/>
                      <w:szCs w:val="21"/>
                    </w:rPr>
                    <w:t>规定应急状态下的通讯、通告方式和交通保障、管理等事项。可充分利用现代化的通信设施，如手机、固定电话、广播、监视电视等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708" w:type="dxa"/>
                  <w:noWrap w:val="0"/>
                  <w:vAlign w:val="center"/>
                </w:tcPr>
                <w:p>
                  <w:pPr>
                    <w:snapToGrid w:val="0"/>
                    <w:jc w:val="center"/>
                    <w:rPr>
                      <w:color w:val="auto"/>
                      <w:sz w:val="21"/>
                      <w:szCs w:val="21"/>
                    </w:rPr>
                  </w:pPr>
                  <w:r>
                    <w:rPr>
                      <w:color w:val="auto"/>
                      <w:sz w:val="21"/>
                      <w:szCs w:val="21"/>
                    </w:rPr>
                    <w:t>7</w:t>
                  </w:r>
                </w:p>
              </w:tc>
              <w:tc>
                <w:tcPr>
                  <w:tcW w:w="1959" w:type="dxa"/>
                  <w:noWrap w:val="0"/>
                  <w:vAlign w:val="center"/>
                </w:tcPr>
                <w:p>
                  <w:pPr>
                    <w:snapToGrid w:val="0"/>
                    <w:jc w:val="center"/>
                    <w:rPr>
                      <w:color w:val="auto"/>
                      <w:sz w:val="21"/>
                      <w:szCs w:val="21"/>
                    </w:rPr>
                  </w:pPr>
                  <w:r>
                    <w:rPr>
                      <w:color w:val="auto"/>
                      <w:sz w:val="21"/>
                      <w:szCs w:val="21"/>
                    </w:rPr>
                    <w:t>应急环境监测及事故后评价</w:t>
                  </w:r>
                </w:p>
              </w:tc>
              <w:tc>
                <w:tcPr>
                  <w:tcW w:w="6404" w:type="dxa"/>
                  <w:noWrap w:val="0"/>
                  <w:vAlign w:val="center"/>
                </w:tcPr>
                <w:p>
                  <w:pPr>
                    <w:snapToGrid w:val="0"/>
                    <w:jc w:val="left"/>
                    <w:rPr>
                      <w:color w:val="auto"/>
                      <w:sz w:val="21"/>
                      <w:szCs w:val="21"/>
                    </w:rPr>
                  </w:pPr>
                  <w:r>
                    <w:rPr>
                      <w:color w:val="auto"/>
                      <w:sz w:val="21"/>
                      <w:szCs w:val="21"/>
                    </w:rPr>
                    <w:t>由专业人员对环境风险事故现场进行应急监测，对事故性质、严重程度均所造成的环境危害后果进行评估，吸取经验教训避免再次发生事故，为指挥部门提供决策依据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08" w:type="dxa"/>
                  <w:noWrap w:val="0"/>
                  <w:vAlign w:val="center"/>
                </w:tcPr>
                <w:p>
                  <w:pPr>
                    <w:snapToGrid w:val="0"/>
                    <w:jc w:val="center"/>
                    <w:rPr>
                      <w:color w:val="auto"/>
                      <w:sz w:val="21"/>
                      <w:szCs w:val="21"/>
                    </w:rPr>
                  </w:pPr>
                  <w:r>
                    <w:rPr>
                      <w:color w:val="auto"/>
                      <w:sz w:val="21"/>
                      <w:szCs w:val="21"/>
                    </w:rPr>
                    <w:t>8</w:t>
                  </w:r>
                </w:p>
              </w:tc>
              <w:tc>
                <w:tcPr>
                  <w:tcW w:w="1959" w:type="dxa"/>
                  <w:noWrap w:val="0"/>
                  <w:vAlign w:val="center"/>
                </w:tcPr>
                <w:p>
                  <w:pPr>
                    <w:snapToGrid w:val="0"/>
                    <w:jc w:val="center"/>
                    <w:rPr>
                      <w:color w:val="auto"/>
                      <w:sz w:val="21"/>
                      <w:szCs w:val="21"/>
                    </w:rPr>
                  </w:pPr>
                  <w:r>
                    <w:rPr>
                      <w:color w:val="auto"/>
                      <w:sz w:val="21"/>
                      <w:szCs w:val="21"/>
                    </w:rPr>
                    <w:t>应急防护措施</w:t>
                  </w:r>
                </w:p>
              </w:tc>
              <w:tc>
                <w:tcPr>
                  <w:tcW w:w="6404" w:type="dxa"/>
                  <w:noWrap w:val="0"/>
                  <w:vAlign w:val="center"/>
                </w:tcPr>
                <w:p>
                  <w:pPr>
                    <w:snapToGrid w:val="0"/>
                    <w:jc w:val="left"/>
                    <w:rPr>
                      <w:color w:val="auto"/>
                      <w:sz w:val="21"/>
                      <w:szCs w:val="21"/>
                    </w:rPr>
                  </w:pPr>
                  <w:r>
                    <w:rPr>
                      <w:color w:val="auto"/>
                      <w:sz w:val="21"/>
                      <w:szCs w:val="21"/>
                    </w:rPr>
                    <w:t>事故现场：控制事故发展，防止扩大、蔓延及连锁反应；对危险区进行隔离；清除现场废物，降低危害；相应的设施器材配备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08" w:type="dxa"/>
                  <w:noWrap w:val="0"/>
                  <w:vAlign w:val="center"/>
                </w:tcPr>
                <w:p>
                  <w:pPr>
                    <w:snapToGrid w:val="0"/>
                    <w:jc w:val="center"/>
                    <w:rPr>
                      <w:color w:val="auto"/>
                      <w:sz w:val="21"/>
                      <w:szCs w:val="21"/>
                    </w:rPr>
                  </w:pPr>
                  <w:r>
                    <w:rPr>
                      <w:color w:val="auto"/>
                      <w:sz w:val="21"/>
                      <w:szCs w:val="21"/>
                    </w:rPr>
                    <w:t>9</w:t>
                  </w:r>
                </w:p>
              </w:tc>
              <w:tc>
                <w:tcPr>
                  <w:tcW w:w="1959" w:type="dxa"/>
                  <w:noWrap w:val="0"/>
                  <w:vAlign w:val="center"/>
                </w:tcPr>
                <w:p>
                  <w:pPr>
                    <w:snapToGrid w:val="0"/>
                    <w:jc w:val="center"/>
                    <w:rPr>
                      <w:color w:val="auto"/>
                      <w:sz w:val="21"/>
                      <w:szCs w:val="21"/>
                    </w:rPr>
                  </w:pPr>
                  <w:r>
                    <w:rPr>
                      <w:color w:val="auto"/>
                      <w:sz w:val="21"/>
                      <w:szCs w:val="21"/>
                    </w:rPr>
                    <w:t>应急剂量控制撤离组织计划医疗救护与保护公众健康</w:t>
                  </w:r>
                </w:p>
              </w:tc>
              <w:tc>
                <w:tcPr>
                  <w:tcW w:w="6404" w:type="dxa"/>
                  <w:noWrap w:val="0"/>
                  <w:vAlign w:val="center"/>
                </w:tcPr>
                <w:p>
                  <w:pPr>
                    <w:snapToGrid w:val="0"/>
                    <w:jc w:val="left"/>
                    <w:rPr>
                      <w:color w:val="auto"/>
                      <w:sz w:val="21"/>
                      <w:szCs w:val="21"/>
                    </w:rPr>
                  </w:pPr>
                  <w:r>
                    <w:rPr>
                      <w:color w:val="auto"/>
                      <w:sz w:val="21"/>
                      <w:szCs w:val="21"/>
                    </w:rPr>
                    <w:t>事故现场：事故处理人员制定现场及临近装置人员的撤离组织计划和紧急救护方案；临近地区：制定受事故影响的临近地区内人员的疏散组织计划和紧急救护方案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708" w:type="dxa"/>
                  <w:noWrap w:val="0"/>
                  <w:vAlign w:val="center"/>
                </w:tcPr>
                <w:p>
                  <w:pPr>
                    <w:snapToGrid w:val="0"/>
                    <w:jc w:val="center"/>
                    <w:rPr>
                      <w:color w:val="auto"/>
                      <w:sz w:val="21"/>
                      <w:szCs w:val="21"/>
                    </w:rPr>
                  </w:pPr>
                  <w:r>
                    <w:rPr>
                      <w:color w:val="auto"/>
                      <w:sz w:val="21"/>
                      <w:szCs w:val="21"/>
                    </w:rPr>
                    <w:t>10</w:t>
                  </w:r>
                </w:p>
              </w:tc>
              <w:tc>
                <w:tcPr>
                  <w:tcW w:w="1959" w:type="dxa"/>
                  <w:noWrap w:val="0"/>
                  <w:vAlign w:val="center"/>
                </w:tcPr>
                <w:p>
                  <w:pPr>
                    <w:snapToGrid w:val="0"/>
                    <w:jc w:val="center"/>
                    <w:rPr>
                      <w:color w:val="auto"/>
                      <w:sz w:val="21"/>
                      <w:szCs w:val="21"/>
                    </w:rPr>
                  </w:pPr>
                  <w:r>
                    <w:rPr>
                      <w:color w:val="auto"/>
                      <w:sz w:val="21"/>
                      <w:szCs w:val="21"/>
                    </w:rPr>
                    <w:t>应急状态中止</w:t>
                  </w:r>
                </w:p>
                <w:p>
                  <w:pPr>
                    <w:snapToGrid w:val="0"/>
                    <w:jc w:val="center"/>
                    <w:rPr>
                      <w:color w:val="auto"/>
                      <w:sz w:val="21"/>
                      <w:szCs w:val="21"/>
                    </w:rPr>
                  </w:pPr>
                  <w:r>
                    <w:rPr>
                      <w:color w:val="auto"/>
                      <w:sz w:val="21"/>
                      <w:szCs w:val="21"/>
                    </w:rPr>
                    <w:t>恢复措施</w:t>
                  </w:r>
                </w:p>
              </w:tc>
              <w:tc>
                <w:tcPr>
                  <w:tcW w:w="6404" w:type="dxa"/>
                  <w:noWrap w:val="0"/>
                  <w:vAlign w:val="center"/>
                </w:tcPr>
                <w:p>
                  <w:pPr>
                    <w:snapToGrid w:val="0"/>
                    <w:jc w:val="left"/>
                    <w:rPr>
                      <w:color w:val="auto"/>
                      <w:sz w:val="21"/>
                      <w:szCs w:val="21"/>
                    </w:rPr>
                  </w:pPr>
                  <w:r>
                    <w:rPr>
                      <w:color w:val="auto"/>
                      <w:sz w:val="21"/>
                      <w:szCs w:val="21"/>
                    </w:rPr>
                    <w:t>事故现场解除事故警戒，公众返回和善后恢复措施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08" w:type="dxa"/>
                  <w:noWrap w:val="0"/>
                  <w:vAlign w:val="center"/>
                </w:tcPr>
                <w:p>
                  <w:pPr>
                    <w:snapToGrid w:val="0"/>
                    <w:jc w:val="center"/>
                    <w:rPr>
                      <w:color w:val="auto"/>
                      <w:sz w:val="21"/>
                      <w:szCs w:val="21"/>
                    </w:rPr>
                  </w:pPr>
                  <w:r>
                    <w:rPr>
                      <w:color w:val="auto"/>
                      <w:sz w:val="21"/>
                      <w:szCs w:val="21"/>
                    </w:rPr>
                    <w:t>11</w:t>
                  </w:r>
                </w:p>
              </w:tc>
              <w:tc>
                <w:tcPr>
                  <w:tcW w:w="1959" w:type="dxa"/>
                  <w:noWrap w:val="0"/>
                  <w:vAlign w:val="center"/>
                </w:tcPr>
                <w:p>
                  <w:pPr>
                    <w:snapToGrid w:val="0"/>
                    <w:jc w:val="center"/>
                    <w:rPr>
                      <w:color w:val="auto"/>
                      <w:sz w:val="21"/>
                      <w:szCs w:val="21"/>
                    </w:rPr>
                  </w:pPr>
                  <w:r>
                    <w:rPr>
                      <w:color w:val="auto"/>
                      <w:sz w:val="21"/>
                      <w:szCs w:val="21"/>
                    </w:rPr>
                    <w:t>人员训练</w:t>
                  </w:r>
                </w:p>
                <w:p>
                  <w:pPr>
                    <w:snapToGrid w:val="0"/>
                    <w:jc w:val="center"/>
                    <w:rPr>
                      <w:color w:val="auto"/>
                      <w:sz w:val="21"/>
                      <w:szCs w:val="21"/>
                    </w:rPr>
                  </w:pPr>
                  <w:r>
                    <w:rPr>
                      <w:color w:val="auto"/>
                      <w:sz w:val="21"/>
                      <w:szCs w:val="21"/>
                    </w:rPr>
                    <w:t>与演习</w:t>
                  </w:r>
                </w:p>
              </w:tc>
              <w:tc>
                <w:tcPr>
                  <w:tcW w:w="6404" w:type="dxa"/>
                  <w:noWrap w:val="0"/>
                  <w:vAlign w:val="center"/>
                </w:tcPr>
                <w:p>
                  <w:pPr>
                    <w:snapToGrid w:val="0"/>
                    <w:jc w:val="left"/>
                    <w:rPr>
                      <w:color w:val="auto"/>
                      <w:sz w:val="21"/>
                      <w:szCs w:val="21"/>
                    </w:rPr>
                  </w:pPr>
                  <w:r>
                    <w:rPr>
                      <w:color w:val="auto"/>
                      <w:sz w:val="21"/>
                      <w:szCs w:val="21"/>
                    </w:rPr>
                    <w:t>应急计划制定后，平时安排事故相关人员进行相关知识训练并进行事故应急处理演习；对工作人员进行安全教育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8" w:type="dxa"/>
                  <w:noWrap w:val="0"/>
                  <w:vAlign w:val="center"/>
                </w:tcPr>
                <w:p>
                  <w:pPr>
                    <w:snapToGrid w:val="0"/>
                    <w:jc w:val="center"/>
                    <w:rPr>
                      <w:color w:val="auto"/>
                      <w:sz w:val="21"/>
                      <w:szCs w:val="21"/>
                    </w:rPr>
                  </w:pPr>
                  <w:r>
                    <w:rPr>
                      <w:color w:val="auto"/>
                      <w:sz w:val="21"/>
                      <w:szCs w:val="21"/>
                    </w:rPr>
                    <w:t>12</w:t>
                  </w:r>
                </w:p>
              </w:tc>
              <w:tc>
                <w:tcPr>
                  <w:tcW w:w="1959" w:type="dxa"/>
                  <w:noWrap w:val="0"/>
                  <w:vAlign w:val="center"/>
                </w:tcPr>
                <w:p>
                  <w:pPr>
                    <w:snapToGrid w:val="0"/>
                    <w:jc w:val="center"/>
                    <w:rPr>
                      <w:color w:val="auto"/>
                      <w:sz w:val="21"/>
                      <w:szCs w:val="21"/>
                    </w:rPr>
                  </w:pPr>
                  <w:r>
                    <w:rPr>
                      <w:color w:val="auto"/>
                      <w:sz w:val="21"/>
                      <w:szCs w:val="21"/>
                    </w:rPr>
                    <w:t>公众教育</w:t>
                  </w:r>
                </w:p>
                <w:p>
                  <w:pPr>
                    <w:snapToGrid w:val="0"/>
                    <w:jc w:val="center"/>
                    <w:rPr>
                      <w:color w:val="auto"/>
                      <w:sz w:val="21"/>
                      <w:szCs w:val="21"/>
                    </w:rPr>
                  </w:pPr>
                  <w:r>
                    <w:rPr>
                      <w:color w:val="auto"/>
                      <w:sz w:val="21"/>
                      <w:szCs w:val="21"/>
                    </w:rPr>
                    <w:t>信息发布</w:t>
                  </w:r>
                </w:p>
              </w:tc>
              <w:tc>
                <w:tcPr>
                  <w:tcW w:w="6404" w:type="dxa"/>
                  <w:noWrap w:val="0"/>
                  <w:vAlign w:val="center"/>
                </w:tcPr>
                <w:p>
                  <w:pPr>
                    <w:snapToGrid w:val="0"/>
                    <w:jc w:val="left"/>
                    <w:rPr>
                      <w:color w:val="auto"/>
                      <w:sz w:val="21"/>
                      <w:szCs w:val="21"/>
                    </w:rPr>
                  </w:pPr>
                  <w:r>
                    <w:rPr>
                      <w:color w:val="auto"/>
                      <w:sz w:val="21"/>
                      <w:szCs w:val="21"/>
                    </w:rPr>
                    <w:t>对临近地区公众开展环境风险事故预防教育、应急知识培训并定期发布相关信息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08" w:type="dxa"/>
                  <w:noWrap w:val="0"/>
                  <w:vAlign w:val="center"/>
                </w:tcPr>
                <w:p>
                  <w:pPr>
                    <w:snapToGrid w:val="0"/>
                    <w:jc w:val="center"/>
                    <w:rPr>
                      <w:color w:val="auto"/>
                      <w:sz w:val="21"/>
                      <w:szCs w:val="21"/>
                    </w:rPr>
                  </w:pPr>
                  <w:r>
                    <w:rPr>
                      <w:color w:val="auto"/>
                      <w:sz w:val="21"/>
                      <w:szCs w:val="21"/>
                    </w:rPr>
                    <w:t>13</w:t>
                  </w:r>
                </w:p>
              </w:tc>
              <w:tc>
                <w:tcPr>
                  <w:tcW w:w="1959" w:type="dxa"/>
                  <w:noWrap w:val="0"/>
                  <w:vAlign w:val="center"/>
                </w:tcPr>
                <w:p>
                  <w:pPr>
                    <w:snapToGrid w:val="0"/>
                    <w:jc w:val="center"/>
                    <w:rPr>
                      <w:color w:val="auto"/>
                      <w:sz w:val="21"/>
                      <w:szCs w:val="21"/>
                    </w:rPr>
                  </w:pPr>
                  <w:r>
                    <w:rPr>
                      <w:color w:val="auto"/>
                      <w:sz w:val="21"/>
                      <w:szCs w:val="21"/>
                    </w:rPr>
                    <w:t>记录和报告</w:t>
                  </w:r>
                </w:p>
              </w:tc>
              <w:tc>
                <w:tcPr>
                  <w:tcW w:w="6404" w:type="dxa"/>
                  <w:noWrap w:val="0"/>
                  <w:vAlign w:val="center"/>
                </w:tcPr>
                <w:p>
                  <w:pPr>
                    <w:snapToGrid w:val="0"/>
                    <w:jc w:val="left"/>
                    <w:rPr>
                      <w:color w:val="auto"/>
                      <w:sz w:val="21"/>
                      <w:szCs w:val="21"/>
                    </w:rPr>
                  </w:pPr>
                  <w:r>
                    <w:rPr>
                      <w:color w:val="auto"/>
                      <w:sz w:val="21"/>
                      <w:szCs w:val="21"/>
                    </w:rPr>
                    <w:t>设应急事故专门记录，建立档案和报告制度，设专门部门负责管理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08" w:type="dxa"/>
                  <w:noWrap w:val="0"/>
                  <w:vAlign w:val="center"/>
                </w:tcPr>
                <w:p>
                  <w:pPr>
                    <w:snapToGrid w:val="0"/>
                    <w:jc w:val="center"/>
                    <w:rPr>
                      <w:color w:val="auto"/>
                      <w:sz w:val="21"/>
                      <w:szCs w:val="21"/>
                    </w:rPr>
                  </w:pPr>
                  <w:r>
                    <w:rPr>
                      <w:color w:val="auto"/>
                      <w:sz w:val="21"/>
                      <w:szCs w:val="21"/>
                    </w:rPr>
                    <w:t>14</w:t>
                  </w:r>
                </w:p>
              </w:tc>
              <w:tc>
                <w:tcPr>
                  <w:tcW w:w="1959" w:type="dxa"/>
                  <w:noWrap w:val="0"/>
                  <w:vAlign w:val="center"/>
                </w:tcPr>
                <w:p>
                  <w:pPr>
                    <w:snapToGrid w:val="0"/>
                    <w:jc w:val="center"/>
                    <w:rPr>
                      <w:color w:val="auto"/>
                      <w:sz w:val="21"/>
                      <w:szCs w:val="21"/>
                    </w:rPr>
                  </w:pPr>
                  <w:r>
                    <w:rPr>
                      <w:color w:val="auto"/>
                      <w:sz w:val="21"/>
                      <w:szCs w:val="21"/>
                    </w:rPr>
                    <w:t>更新程序</w:t>
                  </w:r>
                </w:p>
              </w:tc>
              <w:tc>
                <w:tcPr>
                  <w:tcW w:w="6404" w:type="dxa"/>
                  <w:noWrap w:val="0"/>
                  <w:vAlign w:val="center"/>
                </w:tcPr>
                <w:p>
                  <w:pPr>
                    <w:snapToGrid w:val="0"/>
                    <w:jc w:val="left"/>
                    <w:rPr>
                      <w:color w:val="auto"/>
                      <w:sz w:val="21"/>
                      <w:szCs w:val="21"/>
                    </w:rPr>
                  </w:pPr>
                  <w:r>
                    <w:rPr>
                      <w:color w:val="auto"/>
                      <w:sz w:val="21"/>
                      <w:szCs w:val="21"/>
                    </w:rPr>
                    <w:t>适时对应急预案进行更新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08" w:type="dxa"/>
                  <w:noWrap w:val="0"/>
                  <w:vAlign w:val="center"/>
                </w:tcPr>
                <w:p>
                  <w:pPr>
                    <w:snapToGrid w:val="0"/>
                    <w:jc w:val="center"/>
                    <w:rPr>
                      <w:color w:val="auto"/>
                      <w:sz w:val="21"/>
                      <w:szCs w:val="21"/>
                    </w:rPr>
                  </w:pPr>
                  <w:r>
                    <w:rPr>
                      <w:color w:val="auto"/>
                      <w:sz w:val="21"/>
                      <w:szCs w:val="21"/>
                    </w:rPr>
                    <w:t>15</w:t>
                  </w:r>
                </w:p>
              </w:tc>
              <w:tc>
                <w:tcPr>
                  <w:tcW w:w="1959" w:type="dxa"/>
                  <w:noWrap w:val="0"/>
                  <w:vAlign w:val="center"/>
                </w:tcPr>
                <w:p>
                  <w:pPr>
                    <w:snapToGrid w:val="0"/>
                    <w:jc w:val="center"/>
                    <w:rPr>
                      <w:color w:val="auto"/>
                      <w:sz w:val="21"/>
                      <w:szCs w:val="21"/>
                    </w:rPr>
                  </w:pPr>
                  <w:r>
                    <w:rPr>
                      <w:color w:val="auto"/>
                      <w:sz w:val="21"/>
                      <w:szCs w:val="21"/>
                    </w:rPr>
                    <w:t>附件</w:t>
                  </w:r>
                </w:p>
              </w:tc>
              <w:tc>
                <w:tcPr>
                  <w:tcW w:w="6404" w:type="dxa"/>
                  <w:noWrap w:val="0"/>
                  <w:vAlign w:val="center"/>
                </w:tcPr>
                <w:p>
                  <w:pPr>
                    <w:snapToGrid w:val="0"/>
                    <w:jc w:val="left"/>
                    <w:rPr>
                      <w:color w:val="auto"/>
                      <w:sz w:val="21"/>
                      <w:szCs w:val="21"/>
                    </w:rPr>
                  </w:pPr>
                  <w:r>
                    <w:rPr>
                      <w:color w:val="auto"/>
                      <w:sz w:val="21"/>
                      <w:szCs w:val="21"/>
                    </w:rPr>
                    <w:t>准备并形成环境风险事故应急处理有关的附件材料</w:t>
                  </w:r>
                </w:p>
              </w:tc>
            </w:tr>
          </w:tbl>
          <w:p>
            <w:pPr>
              <w:adjustRightInd w:val="0"/>
              <w:snapToGrid w:val="0"/>
              <w:spacing w:line="360" w:lineRule="auto"/>
              <w:ind w:firstLine="482" w:firstLineChars="200"/>
              <w:rPr>
                <w:color w:val="auto"/>
                <w:sz w:val="24"/>
                <w:szCs w:val="24"/>
              </w:rPr>
            </w:pPr>
            <w:r>
              <w:rPr>
                <w:rFonts w:hint="eastAsia"/>
                <w:b/>
                <w:color w:val="auto"/>
                <w:sz w:val="24"/>
                <w:szCs w:val="24"/>
                <w:lang w:eastAsia="zh-CN"/>
              </w:rPr>
              <w:t>（</w:t>
            </w:r>
            <w:r>
              <w:rPr>
                <w:rFonts w:hint="eastAsia"/>
                <w:b/>
                <w:color w:val="auto"/>
                <w:sz w:val="24"/>
                <w:szCs w:val="24"/>
                <w:lang w:val="en-US" w:eastAsia="zh-CN"/>
              </w:rPr>
              <w:t>7</w:t>
            </w:r>
            <w:r>
              <w:rPr>
                <w:rFonts w:hint="eastAsia"/>
                <w:b/>
                <w:color w:val="auto"/>
                <w:sz w:val="24"/>
                <w:szCs w:val="24"/>
                <w:lang w:eastAsia="zh-CN"/>
              </w:rPr>
              <w:t>）</w:t>
            </w:r>
            <w:r>
              <w:rPr>
                <w:b/>
                <w:color w:val="auto"/>
                <w:sz w:val="24"/>
                <w:szCs w:val="24"/>
              </w:rPr>
              <w:t>结论</w:t>
            </w:r>
          </w:p>
          <w:p>
            <w:pPr>
              <w:adjustRightInd w:val="0"/>
              <w:snapToGrid w:val="0"/>
              <w:spacing w:line="360" w:lineRule="auto"/>
              <w:ind w:firstLine="480" w:firstLineChars="200"/>
              <w:jc w:val="left"/>
              <w:textAlignment w:val="baseline"/>
              <w:rPr>
                <w:color w:val="auto"/>
                <w:sz w:val="24"/>
                <w:szCs w:val="24"/>
              </w:rPr>
            </w:pPr>
            <w:r>
              <w:rPr>
                <w:color w:val="auto"/>
                <w:sz w:val="24"/>
                <w:szCs w:val="24"/>
              </w:rPr>
              <w:t>本项目在采取本环评提出的环境风险防范措施后对环境影响不大，本项目风险水平是可以接受的。但为缓解环境风险，本</w:t>
            </w:r>
            <w:r>
              <w:rPr>
                <w:rFonts w:hint="eastAsia"/>
                <w:color w:val="auto"/>
                <w:sz w:val="24"/>
                <w:szCs w:val="24"/>
                <w:lang w:val="en-US" w:eastAsia="zh-CN"/>
              </w:rPr>
              <w:t>次环评提出以下要求</w:t>
            </w:r>
            <w:r>
              <w:rPr>
                <w:color w:val="auto"/>
                <w:sz w:val="24"/>
                <w:szCs w:val="24"/>
              </w:rPr>
              <w:t>：</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（1）环境风险事故的发生往往都是人为因素导致的，因此，环评建议定期对厂区员工进行安全生产的培训，树立安全生产意识；</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（2）安排专人对可能存在环境风险的区域进行定期排查，一旦发现问题，立即进行整改。</w:t>
            </w:r>
          </w:p>
          <w:p>
            <w:pPr>
              <w:adjustRightInd w:val="0"/>
              <w:snapToGrid w:val="0"/>
              <w:spacing w:line="360" w:lineRule="auto"/>
              <w:ind w:firstLine="480" w:firstLineChars="200"/>
              <w:jc w:val="left"/>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）污水处理站发生事故停运时，应将污水立即引入污水处理站事故应急池暂存，并对污水处理站进行紧急抢修，必要时安排吸污车将污水外运处理，确保污水不外排。</w:t>
            </w:r>
          </w:p>
          <w:p>
            <w:pPr>
              <w:spacing w:line="360" w:lineRule="auto"/>
              <w:ind w:firstLine="482" w:firstLineChars="200"/>
              <w:rPr>
                <w:b/>
                <w:bCs/>
                <w:color w:val="auto"/>
                <w:sz w:val="24"/>
                <w:szCs w:val="24"/>
              </w:rPr>
            </w:pPr>
            <w:r>
              <w:rPr>
                <w:rFonts w:hint="eastAsia"/>
                <w:b/>
                <w:bCs/>
                <w:color w:val="auto"/>
                <w:sz w:val="24"/>
                <w:szCs w:val="24"/>
                <w:lang w:val="en-US" w:eastAsia="zh-CN"/>
              </w:rPr>
              <w:t>9、</w:t>
            </w:r>
            <w:r>
              <w:rPr>
                <w:b/>
                <w:bCs/>
                <w:color w:val="auto"/>
                <w:sz w:val="24"/>
                <w:szCs w:val="24"/>
              </w:rPr>
              <w:t>环境管理</w:t>
            </w:r>
          </w:p>
          <w:p>
            <w:pPr>
              <w:spacing w:line="360" w:lineRule="auto"/>
              <w:ind w:firstLine="480" w:firstLineChars="200"/>
              <w:rPr>
                <w:color w:val="auto"/>
                <w:sz w:val="24"/>
                <w:szCs w:val="24"/>
              </w:rPr>
            </w:pPr>
            <w:r>
              <w:rPr>
                <w:color w:val="auto"/>
                <w:sz w:val="24"/>
                <w:szCs w:val="24"/>
              </w:rPr>
              <w:t>目前建设单位重视环境保护工作和安全防范管理，并设置专门从事环境管理的机构，已配备专职环保人员</w:t>
            </w:r>
            <w:r>
              <w:rPr>
                <w:rFonts w:hint="eastAsia"/>
                <w:color w:val="auto"/>
                <w:sz w:val="24"/>
                <w:szCs w:val="24"/>
                <w:lang w:val="en-US" w:eastAsia="zh-CN"/>
              </w:rPr>
              <w:t>1</w:t>
            </w:r>
            <w:r>
              <w:rPr>
                <w:color w:val="auto"/>
                <w:sz w:val="24"/>
                <w:szCs w:val="24"/>
              </w:rPr>
              <w:t>名，负责环境监督管理工作，以及对外的环保协调工作，履行环境管理和环境监控职责，本次项目在现有环保人员中调配，不新增专职环保人员。</w:t>
            </w:r>
          </w:p>
          <w:p>
            <w:pPr>
              <w:spacing w:line="360" w:lineRule="auto"/>
              <w:ind w:firstLine="482" w:firstLineChars="200"/>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1</w:t>
            </w:r>
            <w:r>
              <w:rPr>
                <w:rFonts w:hint="eastAsia"/>
                <w:b/>
                <w:bCs/>
                <w:color w:val="auto"/>
                <w:sz w:val="24"/>
                <w:szCs w:val="24"/>
                <w:lang w:eastAsia="zh-CN"/>
              </w:rPr>
              <w:t>）</w:t>
            </w:r>
            <w:r>
              <w:rPr>
                <w:b/>
                <w:bCs/>
                <w:color w:val="auto"/>
                <w:sz w:val="24"/>
                <w:szCs w:val="24"/>
              </w:rPr>
              <w:t>环境管理职责</w:t>
            </w:r>
          </w:p>
          <w:p>
            <w:pPr>
              <w:spacing w:line="360" w:lineRule="auto"/>
              <w:ind w:firstLine="480" w:firstLineChars="200"/>
              <w:rPr>
                <w:color w:val="auto"/>
                <w:sz w:val="24"/>
                <w:szCs w:val="24"/>
              </w:rPr>
            </w:pPr>
            <w:r>
              <w:rPr>
                <w:color w:val="auto"/>
                <w:sz w:val="24"/>
                <w:szCs w:val="24"/>
              </w:rPr>
              <w:t>（1）贯彻执行环境保护法规和标准；</w:t>
            </w:r>
          </w:p>
          <w:p>
            <w:pPr>
              <w:spacing w:line="360" w:lineRule="auto"/>
              <w:ind w:firstLine="480" w:firstLineChars="200"/>
              <w:rPr>
                <w:color w:val="auto"/>
                <w:sz w:val="24"/>
                <w:szCs w:val="24"/>
              </w:rPr>
            </w:pPr>
            <w:r>
              <w:rPr>
                <w:color w:val="auto"/>
                <w:sz w:val="24"/>
                <w:szCs w:val="24"/>
              </w:rPr>
              <w:t>（2）建立各种环境管理制度，并经常检查监督；</w:t>
            </w:r>
          </w:p>
          <w:p>
            <w:pPr>
              <w:spacing w:line="360" w:lineRule="auto"/>
              <w:ind w:firstLine="480" w:firstLineChars="200"/>
              <w:rPr>
                <w:color w:val="auto"/>
                <w:sz w:val="24"/>
                <w:szCs w:val="24"/>
              </w:rPr>
            </w:pPr>
            <w:r>
              <w:rPr>
                <w:color w:val="auto"/>
                <w:sz w:val="24"/>
                <w:szCs w:val="24"/>
              </w:rPr>
              <w:t>（3）编制项目环境保护规划并组织实施；</w:t>
            </w:r>
          </w:p>
          <w:p>
            <w:pPr>
              <w:spacing w:line="360" w:lineRule="auto"/>
              <w:ind w:firstLine="480" w:firstLineChars="200"/>
              <w:rPr>
                <w:color w:val="auto"/>
                <w:sz w:val="24"/>
                <w:szCs w:val="24"/>
              </w:rPr>
            </w:pPr>
            <w:r>
              <w:rPr>
                <w:color w:val="auto"/>
                <w:sz w:val="24"/>
                <w:szCs w:val="24"/>
              </w:rPr>
              <w:t>（4）领导并组织实施项目的环境监测工作，建立监控挡案；</w:t>
            </w:r>
          </w:p>
          <w:p>
            <w:pPr>
              <w:spacing w:line="360" w:lineRule="auto"/>
              <w:ind w:firstLine="480" w:firstLineChars="200"/>
              <w:rPr>
                <w:color w:val="auto"/>
                <w:sz w:val="24"/>
                <w:szCs w:val="24"/>
              </w:rPr>
            </w:pPr>
            <w:r>
              <w:rPr>
                <w:color w:val="auto"/>
                <w:sz w:val="24"/>
                <w:szCs w:val="24"/>
              </w:rPr>
              <w:t>（5）抓好环境教育和技术培训工作，提高员工素质；</w:t>
            </w:r>
          </w:p>
          <w:p>
            <w:pPr>
              <w:spacing w:line="360" w:lineRule="auto"/>
              <w:ind w:firstLine="480" w:firstLineChars="200"/>
              <w:rPr>
                <w:color w:val="auto"/>
                <w:sz w:val="24"/>
                <w:szCs w:val="24"/>
              </w:rPr>
            </w:pPr>
            <w:r>
              <w:rPr>
                <w:color w:val="auto"/>
                <w:sz w:val="24"/>
                <w:szCs w:val="24"/>
              </w:rPr>
              <w:t>（6）建立项目有关污染物排放和环保设施运转的规章制度；</w:t>
            </w:r>
          </w:p>
          <w:p>
            <w:pPr>
              <w:spacing w:line="360" w:lineRule="auto"/>
              <w:ind w:firstLine="480" w:firstLineChars="200"/>
              <w:rPr>
                <w:color w:val="auto"/>
                <w:sz w:val="24"/>
                <w:szCs w:val="24"/>
              </w:rPr>
            </w:pPr>
            <w:r>
              <w:rPr>
                <w:color w:val="auto"/>
                <w:sz w:val="24"/>
                <w:szCs w:val="24"/>
              </w:rPr>
              <w:t>（7）负责日常环境管理工作，并配合环保管理部门做好与其它社会各界有关环保问题的协调工作；</w:t>
            </w:r>
          </w:p>
          <w:p>
            <w:pPr>
              <w:spacing w:line="360" w:lineRule="auto"/>
              <w:ind w:firstLine="480" w:firstLineChars="200"/>
              <w:rPr>
                <w:color w:val="auto"/>
                <w:sz w:val="24"/>
                <w:szCs w:val="24"/>
              </w:rPr>
            </w:pPr>
            <w:r>
              <w:rPr>
                <w:color w:val="auto"/>
                <w:sz w:val="24"/>
                <w:szCs w:val="24"/>
              </w:rPr>
              <w:t>（8）制定突发性事故的应急处理方案并参与突发性事故的应急处理工作；</w:t>
            </w:r>
          </w:p>
          <w:p>
            <w:pPr>
              <w:spacing w:line="360" w:lineRule="auto"/>
              <w:ind w:firstLine="480" w:firstLineChars="200"/>
              <w:rPr>
                <w:color w:val="auto"/>
                <w:sz w:val="24"/>
                <w:szCs w:val="24"/>
              </w:rPr>
            </w:pPr>
            <w:r>
              <w:rPr>
                <w:color w:val="auto"/>
                <w:sz w:val="24"/>
                <w:szCs w:val="24"/>
              </w:rPr>
              <w:t>（9）定期检查监督环保法规执行情况，及时和有关部门联系落实各方面的环保措施，使之正常运行。</w:t>
            </w:r>
          </w:p>
          <w:p>
            <w:pPr>
              <w:spacing w:line="360" w:lineRule="auto"/>
              <w:ind w:firstLine="482" w:firstLineChars="200"/>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2</w:t>
            </w:r>
            <w:r>
              <w:rPr>
                <w:rFonts w:hint="eastAsia"/>
                <w:b/>
                <w:bCs/>
                <w:color w:val="auto"/>
                <w:sz w:val="24"/>
                <w:szCs w:val="24"/>
                <w:lang w:eastAsia="zh-CN"/>
              </w:rPr>
              <w:t>）</w:t>
            </w:r>
            <w:r>
              <w:rPr>
                <w:b/>
                <w:bCs/>
                <w:color w:val="auto"/>
                <w:sz w:val="24"/>
                <w:szCs w:val="24"/>
              </w:rPr>
              <w:t>环境监控职责</w:t>
            </w:r>
          </w:p>
          <w:p>
            <w:pPr>
              <w:spacing w:line="360" w:lineRule="auto"/>
              <w:ind w:firstLine="480" w:firstLineChars="200"/>
              <w:rPr>
                <w:color w:val="auto"/>
                <w:sz w:val="24"/>
                <w:szCs w:val="24"/>
              </w:rPr>
            </w:pPr>
            <w:r>
              <w:rPr>
                <w:color w:val="auto"/>
                <w:sz w:val="24"/>
                <w:szCs w:val="24"/>
              </w:rPr>
              <w:t>（1）制定环境监测年度计划和实施方案，并建立各荐规章制度加以落实；</w:t>
            </w:r>
          </w:p>
          <w:p>
            <w:pPr>
              <w:spacing w:line="360" w:lineRule="auto"/>
              <w:ind w:firstLine="480" w:firstLineChars="200"/>
              <w:rPr>
                <w:color w:val="auto"/>
                <w:sz w:val="24"/>
                <w:szCs w:val="24"/>
              </w:rPr>
            </w:pPr>
            <w:r>
              <w:rPr>
                <w:color w:val="auto"/>
                <w:sz w:val="24"/>
                <w:szCs w:val="24"/>
              </w:rPr>
              <w:t>（2）组织并临督环境监测计划的实施，按时完成项目的环境监测计划规定的各项监测任务，并按有关规定编制报表，负责做好呈报工作；</w:t>
            </w:r>
          </w:p>
          <w:p>
            <w:pPr>
              <w:spacing w:line="360" w:lineRule="auto"/>
              <w:ind w:firstLine="480" w:firstLineChars="200"/>
              <w:rPr>
                <w:color w:val="auto"/>
                <w:sz w:val="24"/>
                <w:szCs w:val="24"/>
              </w:rPr>
            </w:pPr>
            <w:r>
              <w:rPr>
                <w:color w:val="auto"/>
                <w:sz w:val="24"/>
                <w:szCs w:val="24"/>
              </w:rPr>
              <w:t>（3）在项目出现突发性污染事故时，积极参与事故的调查和处理工作；</w:t>
            </w:r>
          </w:p>
          <w:p>
            <w:pPr>
              <w:spacing w:line="360" w:lineRule="auto"/>
              <w:ind w:firstLine="480" w:firstLineChars="200"/>
              <w:rPr>
                <w:color w:val="auto"/>
                <w:sz w:val="24"/>
                <w:szCs w:val="24"/>
              </w:rPr>
            </w:pPr>
            <w:r>
              <w:rPr>
                <w:color w:val="auto"/>
                <w:sz w:val="24"/>
                <w:szCs w:val="24"/>
              </w:rPr>
              <w:t>（4）在环境监测基础上，建立项目的污染源档案，了解项目污染物排放量、排放源强、排放规律及相关的污染治理、综合利用情况。</w:t>
            </w:r>
          </w:p>
          <w:p>
            <w:pPr>
              <w:spacing w:line="360" w:lineRule="auto"/>
              <w:rPr>
                <w:rFonts w:hint="default"/>
                <w:b/>
                <w:color w:val="auto"/>
                <w:sz w:val="24"/>
                <w:szCs w:val="24"/>
                <w:lang w:val="en-US" w:eastAsia="zh-CN"/>
              </w:rPr>
            </w:pPr>
            <w:r>
              <w:rPr>
                <w:rFonts w:hint="eastAsia"/>
                <w:b/>
                <w:color w:val="auto"/>
                <w:sz w:val="24"/>
                <w:szCs w:val="24"/>
                <w:lang w:val="en-US" w:eastAsia="zh-CN"/>
              </w:rPr>
              <w:t>9</w:t>
            </w:r>
            <w:r>
              <w:rPr>
                <w:b/>
                <w:color w:val="auto"/>
                <w:sz w:val="24"/>
                <w:szCs w:val="24"/>
              </w:rPr>
              <w:t>、</w:t>
            </w:r>
            <w:r>
              <w:rPr>
                <w:rFonts w:hint="eastAsia"/>
                <w:b/>
                <w:color w:val="auto"/>
                <w:sz w:val="24"/>
                <w:szCs w:val="24"/>
                <w:lang w:eastAsia="zh-CN"/>
              </w:rPr>
              <w:t>企业现有问题及“以新带老”措施</w:t>
            </w:r>
          </w:p>
          <w:p>
            <w:pPr>
              <w:pStyle w:val="95"/>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根据现场勘察，企业危废暂存间存在危废分类不规范、“三防”措施不到位等问题。本次环评要求：进一步规范危废暂存间，按《危险废物贮存污染控制标准》（</w:t>
            </w:r>
            <w:r>
              <w:rPr>
                <w:rFonts w:hint="default" w:ascii="Times New Roman" w:hAnsi="Times New Roman" w:eastAsia="宋体" w:cs="Times New Roman"/>
                <w:b w:val="0"/>
                <w:bCs w:val="0"/>
                <w:color w:val="auto"/>
                <w:sz w:val="24"/>
                <w:szCs w:val="24"/>
                <w:lang w:val="en-US" w:eastAsia="zh-CN"/>
              </w:rPr>
              <w:t>GB18597-2001/XG1-2013</w:t>
            </w:r>
            <w:r>
              <w:rPr>
                <w:rFonts w:hint="eastAsia" w:ascii="Times New Roman" w:hAnsi="Times New Roman" w:eastAsia="宋体" w:cs="Times New Roman"/>
                <w:b w:val="0"/>
                <w:bCs w:val="0"/>
                <w:color w:val="auto"/>
                <w:sz w:val="24"/>
                <w:szCs w:val="24"/>
                <w:lang w:val="en-US" w:eastAsia="zh-CN"/>
              </w:rPr>
              <w:t>）有关要求进行建设，新增导流沟、围堰、托盘等，采用环氧树脂漆对暂存间进行防渗补漆。危险废物做到分类存放，完善台账。</w:t>
            </w:r>
          </w:p>
          <w:p>
            <w:pPr>
              <w:pStyle w:val="95"/>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根据项目现状检测可知，厂界东侧噪声相对较大。本次技改后将新增圆织机150台，可能导致噪声排放超标。本次环评要求：</w:t>
            </w:r>
            <w:r>
              <w:rPr>
                <w:rFonts w:ascii="Times New Roman" w:hAnsi="Times New Roman" w:eastAsia="宋体" w:cs="Times New Roman"/>
                <w:b w:val="0"/>
                <w:bCs w:val="0"/>
                <w:color w:val="auto"/>
                <w:sz w:val="24"/>
                <w:szCs w:val="24"/>
              </w:rPr>
              <w:t>采用吸声、隔声材料</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对</w:t>
            </w:r>
            <w:r>
              <w:rPr>
                <w:rFonts w:ascii="Times New Roman" w:hAnsi="Times New Roman" w:eastAsia="宋体" w:cs="Times New Roman"/>
                <w:b w:val="0"/>
                <w:bCs w:val="0"/>
                <w:color w:val="auto"/>
                <w:sz w:val="24"/>
                <w:szCs w:val="24"/>
              </w:rPr>
              <w:t>厂房</w:t>
            </w:r>
            <w:r>
              <w:rPr>
                <w:rFonts w:hint="eastAsia" w:ascii="Times New Roman" w:hAnsi="Times New Roman" w:eastAsia="宋体" w:cs="Times New Roman"/>
                <w:b w:val="0"/>
                <w:bCs w:val="0"/>
                <w:color w:val="auto"/>
                <w:sz w:val="24"/>
                <w:szCs w:val="24"/>
                <w:lang w:val="en-US" w:eastAsia="zh-CN"/>
              </w:rPr>
              <w:t>进行隔声加强措施</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并加装隔声窗。</w:t>
            </w:r>
          </w:p>
          <w:p>
            <w:pPr>
              <w:pStyle w:val="95"/>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根据现场勘察，厂区部分区域物品堆放较为混乱，分区不够明确。本次环评要求：企业加强管理，对厂区进行分区分类规范管理，定期开展环保培训，强化员工环保意识，切实提高企业环境管理水平。</w:t>
            </w:r>
          </w:p>
          <w:p>
            <w:pPr>
              <w:pStyle w:val="95"/>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eastAsia="宋体" w:cs="Times New Roman"/>
                <w:b w:val="0"/>
                <w:bCs w:val="0"/>
                <w:color w:val="auto"/>
                <w:sz w:val="24"/>
                <w:szCs w:val="24"/>
                <w:lang w:val="en-US" w:eastAsia="zh-CN"/>
              </w:rPr>
              <w:t>由于烧网机产污较大，且属于淘汰设备，本次技改将进行淘汰。本次环评要求：对淘汰烧网机进行封存或外售，做好设备台账记录。生产过程产生废过滤网暂存于危废暂存间，定期交由有资质单位处置。</w:t>
            </w:r>
          </w:p>
          <w:p>
            <w:pPr>
              <w:pStyle w:val="95"/>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eastAsia="宋体" w:cs="Times New Roman"/>
                <w:b w:val="0"/>
                <w:bCs w:val="0"/>
                <w:color w:val="auto"/>
                <w:sz w:val="24"/>
                <w:szCs w:val="24"/>
                <w:lang w:val="en-US" w:eastAsia="zh-CN"/>
              </w:rPr>
              <w:t>企业污水处理站设有ABR厌氧池、二级接触氧化池等，易产生臭气。根据现场踏勘，企业对该部分废气采取敞布遮挡措施，密封效果不好，导致部分臭气外溢，对周围环境造成一定影响。本次环评要求：采用钢板或水泥板对ABR厌氧池、二级接触氧化池等易产生臭气处理池进行密封，确保臭气不外溢。</w:t>
            </w:r>
          </w:p>
          <w:p>
            <w:pPr>
              <w:spacing w:line="360" w:lineRule="auto"/>
              <w:rPr>
                <w:b/>
                <w:color w:val="auto"/>
                <w:sz w:val="24"/>
                <w:szCs w:val="24"/>
              </w:rPr>
            </w:pPr>
            <w:r>
              <w:rPr>
                <w:rFonts w:hint="eastAsia"/>
                <w:b/>
                <w:color w:val="auto"/>
                <w:sz w:val="24"/>
                <w:szCs w:val="24"/>
                <w:lang w:val="en-US" w:eastAsia="zh-CN"/>
              </w:rPr>
              <w:t>10、</w:t>
            </w:r>
            <w:r>
              <w:rPr>
                <w:b/>
                <w:color w:val="auto"/>
                <w:sz w:val="24"/>
                <w:szCs w:val="24"/>
              </w:rPr>
              <w:t>环保投资估算</w:t>
            </w:r>
          </w:p>
          <w:p>
            <w:pPr>
              <w:spacing w:line="360" w:lineRule="auto"/>
              <w:ind w:firstLine="480" w:firstLineChars="200"/>
              <w:rPr>
                <w:rFonts w:hint="eastAsia" w:eastAsia="宋体"/>
                <w:color w:val="auto"/>
                <w:sz w:val="24"/>
                <w:szCs w:val="24"/>
                <w:lang w:eastAsia="zh-CN"/>
              </w:rPr>
            </w:pPr>
            <w:r>
              <w:rPr>
                <w:color w:val="auto"/>
                <w:sz w:val="24"/>
                <w:szCs w:val="24"/>
              </w:rPr>
              <w:t>本项目建设总投资5</w:t>
            </w:r>
            <w:r>
              <w:rPr>
                <w:rFonts w:hint="eastAsia"/>
                <w:color w:val="auto"/>
                <w:sz w:val="24"/>
                <w:szCs w:val="24"/>
                <w:lang w:val="en-US" w:eastAsia="zh-CN"/>
              </w:rPr>
              <w:t>10</w:t>
            </w:r>
            <w:r>
              <w:rPr>
                <w:color w:val="auto"/>
                <w:sz w:val="24"/>
                <w:szCs w:val="24"/>
              </w:rPr>
              <w:t>万元，</w:t>
            </w:r>
            <w:r>
              <w:rPr>
                <w:rFonts w:hint="eastAsia"/>
                <w:color w:val="auto"/>
                <w:sz w:val="24"/>
                <w:szCs w:val="24"/>
                <w:lang w:val="en-US" w:eastAsia="zh-CN"/>
              </w:rPr>
              <w:t>全厂</w:t>
            </w:r>
            <w:r>
              <w:rPr>
                <w:color w:val="auto"/>
                <w:sz w:val="24"/>
                <w:szCs w:val="24"/>
              </w:rPr>
              <w:t>环保</w:t>
            </w:r>
            <w:r>
              <w:rPr>
                <w:rFonts w:hint="eastAsia"/>
                <w:color w:val="auto"/>
                <w:sz w:val="24"/>
                <w:szCs w:val="24"/>
                <w:lang w:val="en-US" w:eastAsia="zh-CN"/>
              </w:rPr>
              <w:t>总</w:t>
            </w:r>
            <w:r>
              <w:rPr>
                <w:color w:val="auto"/>
                <w:sz w:val="24"/>
                <w:szCs w:val="24"/>
              </w:rPr>
              <w:t>投资约</w:t>
            </w:r>
            <w:r>
              <w:rPr>
                <w:rFonts w:hint="eastAsia"/>
                <w:color w:val="auto"/>
                <w:sz w:val="24"/>
                <w:szCs w:val="24"/>
                <w:lang w:val="en-US" w:eastAsia="zh-CN"/>
              </w:rPr>
              <w:t>44.7</w:t>
            </w:r>
            <w:r>
              <w:rPr>
                <w:color w:val="auto"/>
                <w:sz w:val="24"/>
                <w:szCs w:val="24"/>
              </w:rPr>
              <w:t>万元，占工程总投资的</w:t>
            </w:r>
            <w:r>
              <w:rPr>
                <w:rFonts w:hint="eastAsia"/>
                <w:color w:val="auto"/>
                <w:sz w:val="24"/>
                <w:szCs w:val="24"/>
                <w:lang w:val="en-US" w:eastAsia="zh-CN"/>
              </w:rPr>
              <w:t>8.76</w:t>
            </w:r>
            <w:r>
              <w:rPr>
                <w:color w:val="auto"/>
                <w:sz w:val="24"/>
                <w:szCs w:val="24"/>
              </w:rPr>
              <w:t>%，需投入的环保设施及投资见表4-</w:t>
            </w:r>
            <w:r>
              <w:rPr>
                <w:rFonts w:hint="eastAsia"/>
                <w:color w:val="auto"/>
                <w:sz w:val="24"/>
                <w:szCs w:val="24"/>
                <w:lang w:val="en-US" w:eastAsia="zh-CN"/>
              </w:rPr>
              <w:t>15</w:t>
            </w:r>
            <w:r>
              <w:rPr>
                <w:rFonts w:hint="eastAsia"/>
                <w:color w:val="auto"/>
                <w:sz w:val="24"/>
                <w:szCs w:val="24"/>
                <w:lang w:eastAsia="zh-CN"/>
              </w:rPr>
              <w:t>。</w:t>
            </w:r>
          </w:p>
          <w:p>
            <w:pPr>
              <w:jc w:val="center"/>
              <w:rPr>
                <w:b/>
                <w:bCs/>
                <w:color w:val="auto"/>
                <w:sz w:val="21"/>
                <w:szCs w:val="21"/>
              </w:rPr>
            </w:pPr>
          </w:p>
          <w:p>
            <w:pPr>
              <w:jc w:val="center"/>
              <w:rPr>
                <w:b/>
                <w:bCs/>
                <w:color w:val="auto"/>
                <w:sz w:val="21"/>
                <w:szCs w:val="21"/>
              </w:rPr>
            </w:pPr>
            <w:r>
              <w:rPr>
                <w:b/>
                <w:bCs/>
                <w:color w:val="auto"/>
                <w:sz w:val="21"/>
                <w:szCs w:val="21"/>
              </w:rPr>
              <w:t>表4-</w:t>
            </w:r>
            <w:r>
              <w:rPr>
                <w:rFonts w:hint="eastAsia"/>
                <w:b/>
                <w:bCs/>
                <w:color w:val="auto"/>
                <w:sz w:val="21"/>
                <w:szCs w:val="21"/>
                <w:lang w:val="en-US" w:eastAsia="zh-CN"/>
              </w:rPr>
              <w:t>19</w:t>
            </w:r>
            <w:r>
              <w:rPr>
                <w:b/>
                <w:bCs/>
                <w:color w:val="auto"/>
                <w:sz w:val="21"/>
                <w:szCs w:val="21"/>
              </w:rPr>
              <w:t xml:space="preserve"> 项目环保设施(措施)及投资估算一览表</w:t>
            </w:r>
            <w:r>
              <w:rPr>
                <w:rFonts w:hint="eastAsia"/>
                <w:b/>
                <w:bCs/>
                <w:color w:val="auto"/>
                <w:sz w:val="21"/>
                <w:szCs w:val="21"/>
                <w:lang w:val="en-US" w:eastAsia="zh-CN"/>
              </w:rPr>
              <w:t xml:space="preserve">  </w:t>
            </w:r>
            <w:r>
              <w:rPr>
                <w:rFonts w:ascii="Times New Roman" w:hAnsi="Times New Roman"/>
                <w:bCs/>
                <w:color w:val="auto"/>
                <w:sz w:val="21"/>
                <w:szCs w:val="21"/>
              </w:rPr>
              <w:t>（万元）</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845"/>
              <w:gridCol w:w="2489"/>
              <w:gridCol w:w="781"/>
              <w:gridCol w:w="2006"/>
              <w:gridCol w:w="807"/>
              <w:gridCol w:w="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96" w:type="pct"/>
                  <w:gridSpan w:val="2"/>
                  <w:vMerge w:val="restar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类别</w:t>
                  </w:r>
                </w:p>
              </w:tc>
              <w:tc>
                <w:tcPr>
                  <w:tcW w:w="492" w:type="pct"/>
                  <w:vMerge w:val="restar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项目</w:t>
                  </w:r>
                </w:p>
              </w:tc>
              <w:tc>
                <w:tcPr>
                  <w:tcW w:w="1904" w:type="pct"/>
                  <w:gridSpan w:val="2"/>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hint="eastAsia" w:ascii="Times New Roman" w:hAnsi="Times New Roman"/>
                      <w:b/>
                      <w:bCs w:val="0"/>
                      <w:color w:val="auto"/>
                      <w:sz w:val="21"/>
                      <w:szCs w:val="21"/>
                      <w:lang w:val="en-US" w:eastAsia="zh-CN"/>
                    </w:rPr>
                    <w:t>原项目</w:t>
                  </w:r>
                </w:p>
              </w:tc>
              <w:tc>
                <w:tcPr>
                  <w:tcW w:w="1638" w:type="pct"/>
                  <w:gridSpan w:val="2"/>
                  <w:shd w:val="clear" w:color="auto" w:fill="DCE6F2" w:themeFill="accent1" w:themeFillTint="32"/>
                  <w:noWrap w:val="0"/>
                  <w:vAlign w:val="center"/>
                </w:tcPr>
                <w:p>
                  <w:pPr>
                    <w:spacing w:line="240" w:lineRule="auto"/>
                    <w:jc w:val="center"/>
                    <w:rPr>
                      <w:rFonts w:hint="default" w:ascii="Times New Roman" w:hAnsi="Times New Roman" w:eastAsia="宋体"/>
                      <w:b/>
                      <w:bCs w:val="0"/>
                      <w:color w:val="auto"/>
                      <w:sz w:val="21"/>
                      <w:szCs w:val="21"/>
                      <w:lang w:val="en-US" w:eastAsia="zh-CN"/>
                    </w:rPr>
                  </w:pPr>
                  <w:r>
                    <w:rPr>
                      <w:rFonts w:hint="eastAsia" w:ascii="Times New Roman" w:hAnsi="Times New Roman"/>
                      <w:b/>
                      <w:bCs w:val="0"/>
                      <w:color w:val="auto"/>
                      <w:sz w:val="21"/>
                      <w:szCs w:val="21"/>
                      <w:lang w:val="en-US" w:eastAsia="zh-CN"/>
                    </w:rPr>
                    <w:t>本次技改</w:t>
                  </w:r>
                </w:p>
              </w:tc>
              <w:tc>
                <w:tcPr>
                  <w:tcW w:w="468" w:type="pct"/>
                  <w:vMerge w:val="restart"/>
                  <w:shd w:val="clear" w:color="auto" w:fill="DCE6F2" w:themeFill="accent1" w:themeFillTint="32"/>
                  <w:noWrap w:val="0"/>
                  <w:vAlign w:val="center"/>
                </w:tcPr>
                <w:p>
                  <w:pPr>
                    <w:spacing w:line="240" w:lineRule="auto"/>
                    <w:jc w:val="center"/>
                    <w:rPr>
                      <w:rFonts w:ascii="Times New Roman" w:hAnsi="Times New Roman"/>
                      <w:color w:val="auto"/>
                      <w:sz w:val="21"/>
                      <w:szCs w:val="21"/>
                    </w:rPr>
                  </w:pPr>
                  <w:r>
                    <w:rPr>
                      <w:rFonts w:ascii="Times New Roman" w:hAnsi="Times New Roman"/>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gridSpan w:val="2"/>
                  <w:vMerge w:val="continue"/>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p>
              </w:tc>
              <w:tc>
                <w:tcPr>
                  <w:tcW w:w="492" w:type="pct"/>
                  <w:vMerge w:val="continue"/>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p>
              </w:tc>
              <w:tc>
                <w:tcPr>
                  <w:tcW w:w="1449" w:type="pct"/>
                  <w:shd w:val="clear" w:color="auto" w:fill="DCE6F2" w:themeFill="accent1" w:themeFillTint="32"/>
                  <w:noWrap w:val="0"/>
                  <w:vAlign w:val="center"/>
                </w:tcPr>
                <w:p>
                  <w:pPr>
                    <w:spacing w:line="240" w:lineRule="auto"/>
                    <w:jc w:val="center"/>
                    <w:rPr>
                      <w:rFonts w:ascii="Times New Roman" w:hAnsi="Times New Roman"/>
                      <w:b/>
                      <w:bCs w:val="0"/>
                      <w:color w:val="auto"/>
                      <w:sz w:val="21"/>
                      <w:szCs w:val="21"/>
                    </w:rPr>
                  </w:pPr>
                  <w:r>
                    <w:rPr>
                      <w:rFonts w:ascii="Times New Roman" w:hAnsi="Times New Roman"/>
                      <w:b/>
                      <w:bCs w:val="0"/>
                      <w:color w:val="auto"/>
                      <w:sz w:val="21"/>
                      <w:szCs w:val="21"/>
                    </w:rPr>
                    <w:t>治理措施</w:t>
                  </w:r>
                </w:p>
              </w:tc>
              <w:tc>
                <w:tcPr>
                  <w:tcW w:w="454" w:type="pct"/>
                  <w:shd w:val="clear" w:color="auto" w:fill="DCE6F2" w:themeFill="accent1" w:themeFillTint="32"/>
                  <w:noWrap w:val="0"/>
                  <w:vAlign w:val="center"/>
                </w:tcPr>
                <w:p>
                  <w:pPr>
                    <w:spacing w:line="240" w:lineRule="auto"/>
                    <w:jc w:val="center"/>
                    <w:rPr>
                      <w:rFonts w:hint="default" w:ascii="Times New Roman" w:hAnsi="Times New Roman" w:eastAsia="宋体"/>
                      <w:b/>
                      <w:bCs w:val="0"/>
                      <w:color w:val="auto"/>
                      <w:sz w:val="21"/>
                      <w:szCs w:val="21"/>
                      <w:lang w:val="en-US" w:eastAsia="zh-CN"/>
                    </w:rPr>
                  </w:pPr>
                  <w:r>
                    <w:rPr>
                      <w:rFonts w:hint="eastAsia" w:ascii="Times New Roman" w:hAnsi="Times New Roman"/>
                      <w:b/>
                      <w:bCs w:val="0"/>
                      <w:color w:val="auto"/>
                      <w:sz w:val="21"/>
                      <w:szCs w:val="21"/>
                      <w:lang w:val="en-US" w:eastAsia="zh-CN"/>
                    </w:rPr>
                    <w:t>费用</w:t>
                  </w:r>
                </w:p>
              </w:tc>
              <w:tc>
                <w:tcPr>
                  <w:tcW w:w="1168" w:type="pct"/>
                  <w:shd w:val="clear" w:color="auto" w:fill="DCE6F2" w:themeFill="accent1" w:themeFillTint="32"/>
                  <w:noWrap w:val="0"/>
                  <w:vAlign w:val="center"/>
                </w:tcPr>
                <w:p>
                  <w:pPr>
                    <w:spacing w:line="240" w:lineRule="auto"/>
                    <w:jc w:val="center"/>
                    <w:rPr>
                      <w:rFonts w:hint="eastAsia" w:ascii="Times New Roman" w:hAnsi="Times New Roman"/>
                      <w:b/>
                      <w:bCs w:val="0"/>
                      <w:color w:val="auto"/>
                      <w:sz w:val="21"/>
                      <w:szCs w:val="21"/>
                      <w:lang w:val="en-US" w:eastAsia="zh-CN"/>
                    </w:rPr>
                  </w:pPr>
                  <w:r>
                    <w:rPr>
                      <w:rFonts w:ascii="Times New Roman" w:hAnsi="Times New Roman"/>
                      <w:b/>
                      <w:bCs w:val="0"/>
                      <w:color w:val="auto"/>
                      <w:sz w:val="21"/>
                      <w:szCs w:val="21"/>
                    </w:rPr>
                    <w:t>治理措施</w:t>
                  </w:r>
                </w:p>
              </w:tc>
              <w:tc>
                <w:tcPr>
                  <w:tcW w:w="470" w:type="pct"/>
                  <w:shd w:val="clear" w:color="auto" w:fill="DCE6F2" w:themeFill="accent1" w:themeFillTint="32"/>
                  <w:noWrap w:val="0"/>
                  <w:vAlign w:val="center"/>
                </w:tcPr>
                <w:p>
                  <w:pPr>
                    <w:spacing w:line="240" w:lineRule="auto"/>
                    <w:jc w:val="center"/>
                    <w:rPr>
                      <w:rFonts w:hint="eastAsia" w:ascii="Times New Roman" w:hAnsi="Times New Roman"/>
                      <w:b/>
                      <w:bCs w:val="0"/>
                      <w:color w:val="auto"/>
                      <w:sz w:val="21"/>
                      <w:szCs w:val="21"/>
                      <w:lang w:val="en-US" w:eastAsia="zh-CN"/>
                    </w:rPr>
                  </w:pPr>
                  <w:r>
                    <w:rPr>
                      <w:rFonts w:hint="eastAsia" w:ascii="Times New Roman" w:hAnsi="Times New Roman"/>
                      <w:b/>
                      <w:bCs w:val="0"/>
                      <w:color w:val="auto"/>
                      <w:sz w:val="21"/>
                      <w:szCs w:val="21"/>
                      <w:lang w:val="en-US" w:eastAsia="zh-CN"/>
                    </w:rPr>
                    <w:t>费用</w:t>
                  </w:r>
                </w:p>
              </w:tc>
              <w:tc>
                <w:tcPr>
                  <w:tcW w:w="468" w:type="pct"/>
                  <w:vMerge w:val="continue"/>
                  <w:shd w:val="clear" w:color="auto" w:fill="DCE6F2" w:themeFill="accent1" w:themeFillTint="32"/>
                  <w:noWrap w:val="0"/>
                  <w:vAlign w:val="center"/>
                </w:tcPr>
                <w:p>
                  <w:pPr>
                    <w:spacing w:line="240" w:lineRule="auto"/>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48"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营运期</w:t>
                  </w:r>
                </w:p>
              </w:tc>
              <w:tc>
                <w:tcPr>
                  <w:tcW w:w="248"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废水</w:t>
                  </w:r>
                </w:p>
              </w:tc>
              <w:tc>
                <w:tcPr>
                  <w:tcW w:w="492"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生产废水</w:t>
                  </w:r>
                </w:p>
              </w:tc>
              <w:tc>
                <w:tcPr>
                  <w:tcW w:w="1449" w:type="pct"/>
                  <w:noWrap w:val="0"/>
                  <w:vAlign w:val="center"/>
                </w:tcPr>
                <w:p>
                  <w:pPr>
                    <w:pStyle w:val="25"/>
                    <w:widowControl/>
                    <w:spacing w:before="0" w:beforeAutospacing="0" w:after="0" w:afterAutospacing="0" w:line="240" w:lineRule="auto"/>
                    <w:jc w:val="both"/>
                    <w:rPr>
                      <w:rFonts w:ascii="Times New Roman" w:hAnsi="Times New Roman"/>
                      <w:color w:val="auto"/>
                      <w:sz w:val="21"/>
                      <w:szCs w:val="21"/>
                    </w:rPr>
                  </w:pPr>
                  <w:r>
                    <w:rPr>
                      <w:rFonts w:hint="eastAsia"/>
                      <w:bCs/>
                      <w:color w:val="auto"/>
                      <w:sz w:val="21"/>
                      <w:szCs w:val="21"/>
                    </w:rPr>
                    <w:t>冷却水循环使用不外排，生产废水经自建污水处理站</w:t>
                  </w:r>
                  <w:r>
                    <w:rPr>
                      <w:rFonts w:hint="eastAsia"/>
                      <w:bCs/>
                      <w:color w:val="auto"/>
                      <w:sz w:val="21"/>
                      <w:szCs w:val="21"/>
                      <w:lang w:eastAsia="zh-CN"/>
                    </w:rPr>
                    <w:t>（</w:t>
                  </w:r>
                  <w:r>
                    <w:rPr>
                      <w:rFonts w:hint="eastAsia" w:ascii="Times New Roman" w:hAnsi="Times New Roman"/>
                      <w:bCs/>
                      <w:color w:val="auto"/>
                      <w:sz w:val="21"/>
                      <w:szCs w:val="21"/>
                    </w:rPr>
                    <w:t>处理能力为3000m</w:t>
                  </w:r>
                  <w:r>
                    <w:rPr>
                      <w:rFonts w:hint="eastAsia" w:ascii="Times New Roman" w:hAnsi="Times New Roman"/>
                      <w:bCs/>
                      <w:color w:val="auto"/>
                      <w:sz w:val="21"/>
                      <w:szCs w:val="21"/>
                      <w:vertAlign w:val="superscript"/>
                    </w:rPr>
                    <w:t>3</w:t>
                  </w:r>
                  <w:r>
                    <w:rPr>
                      <w:rFonts w:hint="eastAsia" w:ascii="Times New Roman" w:hAnsi="Times New Roman"/>
                      <w:bCs/>
                      <w:color w:val="auto"/>
                      <w:sz w:val="21"/>
                      <w:szCs w:val="21"/>
                    </w:rPr>
                    <w:t>/d</w:t>
                  </w:r>
                  <w:r>
                    <w:rPr>
                      <w:rFonts w:hint="eastAsia"/>
                      <w:bCs/>
                      <w:color w:val="auto"/>
                      <w:sz w:val="21"/>
                      <w:szCs w:val="21"/>
                      <w:lang w:eastAsia="zh-CN"/>
                    </w:rPr>
                    <w:t>）</w:t>
                  </w:r>
                  <w:r>
                    <w:rPr>
                      <w:rFonts w:hint="eastAsia"/>
                      <w:bCs/>
                      <w:color w:val="auto"/>
                      <w:sz w:val="21"/>
                      <w:szCs w:val="21"/>
                    </w:rPr>
                    <w:t>处理后循环使用不外排</w:t>
                  </w:r>
                  <w:r>
                    <w:rPr>
                      <w:rFonts w:hint="eastAsia"/>
                      <w:bCs/>
                      <w:color w:val="auto"/>
                      <w:sz w:val="21"/>
                      <w:szCs w:val="21"/>
                      <w:lang w:eastAsia="zh-CN"/>
                    </w:rPr>
                    <w:t>。</w:t>
                  </w:r>
                </w:p>
              </w:tc>
              <w:tc>
                <w:tcPr>
                  <w:tcW w:w="454" w:type="pct"/>
                  <w:noWrap w:val="0"/>
                  <w:vAlign w:val="center"/>
                </w:tcPr>
                <w:p>
                  <w:pPr>
                    <w:spacing w:line="240" w:lineRule="auto"/>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计入工程</w:t>
                  </w:r>
                </w:p>
              </w:tc>
              <w:tc>
                <w:tcPr>
                  <w:tcW w:w="1168" w:type="pct"/>
                  <w:noWrap w:val="0"/>
                  <w:vAlign w:val="center"/>
                </w:tcPr>
                <w:p>
                  <w:pPr>
                    <w:pStyle w:val="25"/>
                    <w:widowControl/>
                    <w:spacing w:before="0" w:beforeAutospacing="0" w:after="0" w:afterAutospacing="0" w:line="240" w:lineRule="auto"/>
                    <w:jc w:val="both"/>
                    <w:rPr>
                      <w:rFonts w:hint="default" w:ascii="Times New Roman" w:hAnsi="Times New Roman" w:eastAsia="宋体"/>
                      <w:color w:val="auto"/>
                      <w:sz w:val="21"/>
                      <w:szCs w:val="21"/>
                      <w:lang w:val="en-US" w:eastAsia="zh-CN"/>
                    </w:rPr>
                  </w:pPr>
                  <w:r>
                    <w:rPr>
                      <w:rFonts w:hint="eastAsia"/>
                      <w:bCs/>
                      <w:color w:val="auto"/>
                      <w:sz w:val="21"/>
                      <w:szCs w:val="21"/>
                    </w:rPr>
                    <w:t>冷却水循环使用不外排，生产废水经自建污水处理站</w:t>
                  </w:r>
                  <w:r>
                    <w:rPr>
                      <w:rFonts w:hint="eastAsia"/>
                      <w:bCs/>
                      <w:color w:val="auto"/>
                      <w:sz w:val="21"/>
                      <w:szCs w:val="21"/>
                      <w:lang w:eastAsia="zh-CN"/>
                    </w:rPr>
                    <w:t>（</w:t>
                  </w:r>
                  <w:r>
                    <w:rPr>
                      <w:rFonts w:hint="eastAsia" w:ascii="Times New Roman" w:hAnsi="Times New Roman"/>
                      <w:bCs/>
                      <w:color w:val="auto"/>
                      <w:sz w:val="21"/>
                      <w:szCs w:val="21"/>
                    </w:rPr>
                    <w:t>处理能力为3000m</w:t>
                  </w:r>
                  <w:r>
                    <w:rPr>
                      <w:rFonts w:hint="eastAsia" w:ascii="Times New Roman" w:hAnsi="Times New Roman"/>
                      <w:bCs/>
                      <w:color w:val="auto"/>
                      <w:sz w:val="21"/>
                      <w:szCs w:val="21"/>
                      <w:vertAlign w:val="superscript"/>
                    </w:rPr>
                    <w:t>3</w:t>
                  </w:r>
                  <w:r>
                    <w:rPr>
                      <w:rFonts w:hint="eastAsia" w:ascii="Times New Roman" w:hAnsi="Times New Roman"/>
                      <w:bCs/>
                      <w:color w:val="auto"/>
                      <w:sz w:val="21"/>
                      <w:szCs w:val="21"/>
                    </w:rPr>
                    <w:t>/d</w:t>
                  </w:r>
                  <w:r>
                    <w:rPr>
                      <w:rFonts w:hint="eastAsia"/>
                      <w:bCs/>
                      <w:color w:val="auto"/>
                      <w:sz w:val="21"/>
                      <w:szCs w:val="21"/>
                      <w:lang w:eastAsia="zh-CN"/>
                    </w:rPr>
                    <w:t>）</w:t>
                  </w:r>
                  <w:r>
                    <w:rPr>
                      <w:rFonts w:hint="eastAsia"/>
                      <w:bCs/>
                      <w:color w:val="auto"/>
                      <w:sz w:val="21"/>
                      <w:szCs w:val="21"/>
                    </w:rPr>
                    <w:t>处理后循环使用</w:t>
                  </w:r>
                  <w:r>
                    <w:rPr>
                      <w:rFonts w:hint="eastAsia"/>
                      <w:bCs/>
                      <w:color w:val="auto"/>
                      <w:sz w:val="21"/>
                      <w:szCs w:val="21"/>
                      <w:lang w:val="en-US" w:eastAsia="zh-CN"/>
                    </w:rPr>
                    <w:t>。</w:t>
                  </w:r>
                </w:p>
              </w:tc>
              <w:tc>
                <w:tcPr>
                  <w:tcW w:w="470"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0</w:t>
                  </w:r>
                </w:p>
              </w:tc>
              <w:tc>
                <w:tcPr>
                  <w:tcW w:w="46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48" w:type="pct"/>
                  <w:vMerge w:val="continue"/>
                  <w:noWrap w:val="0"/>
                  <w:vAlign w:val="center"/>
                </w:tcPr>
                <w:p>
                  <w:pPr>
                    <w:spacing w:line="240" w:lineRule="auto"/>
                    <w:jc w:val="center"/>
                    <w:rPr>
                      <w:rFonts w:ascii="Times New Roman" w:hAnsi="Times New Roman"/>
                      <w:color w:val="auto"/>
                      <w:sz w:val="21"/>
                      <w:szCs w:val="21"/>
                    </w:rPr>
                  </w:pPr>
                </w:p>
              </w:tc>
              <w:tc>
                <w:tcPr>
                  <w:tcW w:w="248" w:type="pct"/>
                  <w:vMerge w:val="continue"/>
                  <w:noWrap w:val="0"/>
                  <w:vAlign w:val="center"/>
                </w:tcPr>
                <w:p>
                  <w:pPr>
                    <w:spacing w:line="240" w:lineRule="auto"/>
                    <w:jc w:val="center"/>
                    <w:rPr>
                      <w:rFonts w:ascii="Times New Roman" w:hAnsi="Times New Roman"/>
                      <w:color w:val="auto"/>
                      <w:sz w:val="21"/>
                      <w:szCs w:val="21"/>
                    </w:rPr>
                  </w:pPr>
                </w:p>
              </w:tc>
              <w:tc>
                <w:tcPr>
                  <w:tcW w:w="492" w:type="pct"/>
                  <w:noWrap w:val="0"/>
                  <w:vAlign w:val="center"/>
                </w:tcPr>
                <w:p>
                  <w:pPr>
                    <w:spacing w:line="240" w:lineRule="auto"/>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生活废水</w:t>
                  </w:r>
                </w:p>
              </w:tc>
              <w:tc>
                <w:tcPr>
                  <w:tcW w:w="1449" w:type="pct"/>
                  <w:noWrap w:val="0"/>
                  <w:vAlign w:val="center"/>
                </w:tcPr>
                <w:p>
                  <w:pPr>
                    <w:spacing w:line="240" w:lineRule="auto"/>
                    <w:rPr>
                      <w:rFonts w:ascii="Times New Roman" w:hAnsi="Times New Roman"/>
                      <w:color w:val="auto"/>
                      <w:sz w:val="21"/>
                      <w:szCs w:val="21"/>
                    </w:rPr>
                  </w:pPr>
                  <w:r>
                    <w:rPr>
                      <w:rFonts w:ascii="Times New Roman" w:hAnsi="Times New Roman"/>
                      <w:color w:val="auto"/>
                      <w:sz w:val="21"/>
                      <w:szCs w:val="21"/>
                    </w:rPr>
                    <w:t>食堂废水经</w:t>
                  </w:r>
                  <w:r>
                    <w:rPr>
                      <w:rFonts w:ascii="Times New Roman" w:hAnsi="Times New Roman"/>
                      <w:bCs/>
                      <w:color w:val="auto"/>
                      <w:sz w:val="21"/>
                      <w:szCs w:val="21"/>
                    </w:rPr>
                    <w:t>3m</w:t>
                  </w:r>
                  <w:r>
                    <w:rPr>
                      <w:rFonts w:ascii="Times New Roman" w:hAnsi="Times New Roman"/>
                      <w:bCs/>
                      <w:color w:val="auto"/>
                      <w:sz w:val="21"/>
                      <w:szCs w:val="21"/>
                      <w:vertAlign w:val="superscript"/>
                    </w:rPr>
                    <w:t>3</w:t>
                  </w:r>
                  <w:r>
                    <w:rPr>
                      <w:rFonts w:ascii="Times New Roman" w:hAnsi="Times New Roman"/>
                      <w:color w:val="auto"/>
                      <w:sz w:val="21"/>
                      <w:szCs w:val="21"/>
                    </w:rPr>
                    <w:t>隔油池隔油处理后与</w:t>
                  </w:r>
                  <w:r>
                    <w:rPr>
                      <w:rFonts w:hint="eastAsia"/>
                      <w:bCs/>
                      <w:color w:val="auto"/>
                      <w:sz w:val="21"/>
                      <w:szCs w:val="21"/>
                    </w:rPr>
                    <w:t>生活污水</w:t>
                  </w:r>
                  <w:r>
                    <w:rPr>
                      <w:rFonts w:hint="eastAsia"/>
                      <w:bCs/>
                      <w:color w:val="auto"/>
                      <w:sz w:val="21"/>
                      <w:szCs w:val="21"/>
                      <w:lang w:val="en-US" w:eastAsia="zh-CN"/>
                    </w:rPr>
                    <w:t>经</w:t>
                  </w:r>
                  <w:r>
                    <w:rPr>
                      <w:rFonts w:ascii="Times New Roman" w:hAnsi="Times New Roman"/>
                      <w:bCs/>
                      <w:color w:val="auto"/>
                      <w:sz w:val="21"/>
                      <w:szCs w:val="21"/>
                    </w:rPr>
                    <w:t>63m</w:t>
                  </w:r>
                  <w:r>
                    <w:rPr>
                      <w:rFonts w:ascii="Times New Roman" w:hAnsi="Times New Roman"/>
                      <w:bCs/>
                      <w:color w:val="auto"/>
                      <w:sz w:val="21"/>
                      <w:szCs w:val="21"/>
                      <w:vertAlign w:val="superscript"/>
                    </w:rPr>
                    <w:t>3</w:t>
                  </w:r>
                  <w:r>
                    <w:rPr>
                      <w:rFonts w:ascii="Times New Roman" w:hAnsi="Times New Roman"/>
                      <w:color w:val="auto"/>
                      <w:sz w:val="21"/>
                      <w:szCs w:val="21"/>
                    </w:rPr>
                    <w:t>预处理池处理</w:t>
                  </w:r>
                  <w:r>
                    <w:rPr>
                      <w:rFonts w:ascii="Times New Roman" w:hAnsi="Times New Roman"/>
                      <w:bCs/>
                      <w:color w:val="auto"/>
                      <w:sz w:val="21"/>
                      <w:szCs w:val="21"/>
                    </w:rPr>
                    <w:t>后排入园区污水管网</w:t>
                  </w:r>
                  <w:r>
                    <w:rPr>
                      <w:rFonts w:hint="eastAsia"/>
                      <w:bCs/>
                      <w:color w:val="auto"/>
                      <w:sz w:val="21"/>
                      <w:szCs w:val="21"/>
                    </w:rPr>
                    <w:t>。</w:t>
                  </w:r>
                </w:p>
              </w:tc>
              <w:tc>
                <w:tcPr>
                  <w:tcW w:w="454" w:type="pct"/>
                  <w:noWrap w:val="0"/>
                  <w:vAlign w:val="center"/>
                </w:tcPr>
                <w:p>
                  <w:pPr>
                    <w:spacing w:line="240" w:lineRule="auto"/>
                    <w:jc w:val="center"/>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5</w:t>
                  </w:r>
                </w:p>
              </w:tc>
              <w:tc>
                <w:tcPr>
                  <w:tcW w:w="1168" w:type="pct"/>
                  <w:noWrap w:val="0"/>
                  <w:vAlign w:val="center"/>
                </w:tcPr>
                <w:p>
                  <w:pPr>
                    <w:spacing w:line="240" w:lineRule="auto"/>
                    <w:jc w:val="center"/>
                    <w:rPr>
                      <w:rFonts w:hint="eastAsia" w:ascii="Times New Roman" w:hAnsi="Times New Roman"/>
                      <w:color w:val="auto"/>
                      <w:sz w:val="21"/>
                      <w:szCs w:val="21"/>
                      <w:lang w:val="en-US" w:eastAsia="zh-CN"/>
                    </w:rPr>
                  </w:pPr>
                  <w:r>
                    <w:rPr>
                      <w:rFonts w:ascii="Times New Roman" w:hAnsi="Times New Roman"/>
                      <w:color w:val="auto"/>
                      <w:sz w:val="21"/>
                      <w:szCs w:val="21"/>
                    </w:rPr>
                    <w:t>食堂废水经</w:t>
                  </w:r>
                  <w:r>
                    <w:rPr>
                      <w:rFonts w:ascii="Times New Roman" w:hAnsi="Times New Roman"/>
                      <w:bCs/>
                      <w:color w:val="auto"/>
                      <w:sz w:val="21"/>
                      <w:szCs w:val="21"/>
                    </w:rPr>
                    <w:t>3m</w:t>
                  </w:r>
                  <w:r>
                    <w:rPr>
                      <w:rFonts w:ascii="Times New Roman" w:hAnsi="Times New Roman"/>
                      <w:bCs/>
                      <w:color w:val="auto"/>
                      <w:sz w:val="21"/>
                      <w:szCs w:val="21"/>
                      <w:vertAlign w:val="superscript"/>
                    </w:rPr>
                    <w:t>3</w:t>
                  </w:r>
                  <w:r>
                    <w:rPr>
                      <w:rFonts w:ascii="Times New Roman" w:hAnsi="Times New Roman"/>
                      <w:color w:val="auto"/>
                      <w:sz w:val="21"/>
                      <w:szCs w:val="21"/>
                    </w:rPr>
                    <w:t>隔油池隔油处理后与</w:t>
                  </w:r>
                  <w:r>
                    <w:rPr>
                      <w:rFonts w:hint="eastAsia"/>
                      <w:bCs/>
                      <w:color w:val="auto"/>
                      <w:sz w:val="21"/>
                      <w:szCs w:val="21"/>
                    </w:rPr>
                    <w:t>生活污水</w:t>
                  </w:r>
                  <w:r>
                    <w:rPr>
                      <w:rFonts w:hint="eastAsia"/>
                      <w:bCs/>
                      <w:color w:val="auto"/>
                      <w:sz w:val="21"/>
                      <w:szCs w:val="21"/>
                      <w:lang w:val="en-US" w:eastAsia="zh-CN"/>
                    </w:rPr>
                    <w:t>经</w:t>
                  </w:r>
                  <w:r>
                    <w:rPr>
                      <w:rFonts w:ascii="Times New Roman" w:hAnsi="Times New Roman"/>
                      <w:bCs/>
                      <w:color w:val="auto"/>
                      <w:sz w:val="21"/>
                      <w:szCs w:val="21"/>
                    </w:rPr>
                    <w:t>63m</w:t>
                  </w:r>
                  <w:r>
                    <w:rPr>
                      <w:rFonts w:ascii="Times New Roman" w:hAnsi="Times New Roman"/>
                      <w:bCs/>
                      <w:color w:val="auto"/>
                      <w:sz w:val="21"/>
                      <w:szCs w:val="21"/>
                      <w:vertAlign w:val="superscript"/>
                    </w:rPr>
                    <w:t>3</w:t>
                  </w:r>
                  <w:r>
                    <w:rPr>
                      <w:rFonts w:ascii="Times New Roman" w:hAnsi="Times New Roman"/>
                      <w:color w:val="auto"/>
                      <w:sz w:val="21"/>
                      <w:szCs w:val="21"/>
                    </w:rPr>
                    <w:t>预处理池处理</w:t>
                  </w:r>
                  <w:r>
                    <w:rPr>
                      <w:rFonts w:ascii="Times New Roman" w:hAnsi="Times New Roman"/>
                      <w:bCs/>
                      <w:color w:val="auto"/>
                      <w:sz w:val="21"/>
                      <w:szCs w:val="21"/>
                    </w:rPr>
                    <w:t>后排入园区污水管网</w:t>
                  </w:r>
                  <w:r>
                    <w:rPr>
                      <w:rFonts w:hint="eastAsia"/>
                      <w:bCs/>
                      <w:color w:val="auto"/>
                      <w:sz w:val="21"/>
                      <w:szCs w:val="21"/>
                    </w:rPr>
                    <w:t>。</w:t>
                  </w:r>
                </w:p>
              </w:tc>
              <w:tc>
                <w:tcPr>
                  <w:tcW w:w="470"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c>
                <w:tcPr>
                  <w:tcW w:w="468"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48" w:type="pct"/>
                  <w:vMerge w:val="continue"/>
                  <w:noWrap w:val="0"/>
                  <w:vAlign w:val="center"/>
                </w:tcPr>
                <w:p>
                  <w:pPr>
                    <w:spacing w:line="240" w:lineRule="auto"/>
                    <w:jc w:val="center"/>
                    <w:rPr>
                      <w:rFonts w:ascii="Times New Roman" w:hAnsi="Times New Roman"/>
                      <w:color w:val="auto"/>
                      <w:sz w:val="21"/>
                      <w:szCs w:val="21"/>
                    </w:rPr>
                  </w:pPr>
                </w:p>
              </w:tc>
              <w:tc>
                <w:tcPr>
                  <w:tcW w:w="248"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废气</w:t>
                  </w:r>
                </w:p>
              </w:tc>
              <w:tc>
                <w:tcPr>
                  <w:tcW w:w="492" w:type="pct"/>
                  <w:vMerge w:val="restart"/>
                  <w:noWrap w:val="0"/>
                  <w:vAlign w:val="center"/>
                </w:tcPr>
                <w:p>
                  <w:pPr>
                    <w:spacing w:line="240" w:lineRule="auto"/>
                    <w:jc w:val="center"/>
                    <w:rPr>
                      <w:rFonts w:hint="eastAsia" w:ascii="Times New Roman" w:hAnsi="Times New Roman"/>
                      <w:color w:val="auto"/>
                      <w:sz w:val="21"/>
                      <w:szCs w:val="21"/>
                    </w:rPr>
                  </w:pPr>
                  <w:r>
                    <w:rPr>
                      <w:rFonts w:hint="eastAsia" w:ascii="Times New Roman" w:hAnsi="Times New Roman"/>
                      <w:color w:val="auto"/>
                      <w:sz w:val="21"/>
                      <w:szCs w:val="21"/>
                    </w:rPr>
                    <w:t>非甲烷总烃</w:t>
                  </w:r>
                </w:p>
              </w:tc>
              <w:tc>
                <w:tcPr>
                  <w:tcW w:w="1449" w:type="pct"/>
                  <w:noWrap w:val="0"/>
                  <w:vAlign w:val="center"/>
                </w:tcPr>
                <w:p>
                  <w:pPr>
                    <w:spacing w:line="240" w:lineRule="auto"/>
                    <w:jc w:val="center"/>
                    <w:rPr>
                      <w:rFonts w:ascii="Times New Roman" w:hAnsi="Times New Roman"/>
                      <w:color w:val="auto"/>
                      <w:sz w:val="21"/>
                      <w:szCs w:val="21"/>
                    </w:rPr>
                  </w:pPr>
                  <w:r>
                    <w:rPr>
                      <w:rFonts w:ascii="Times New Roman" w:hAnsi="Times New Roman"/>
                      <w:bCs/>
                      <w:color w:val="auto"/>
                      <w:sz w:val="21"/>
                      <w:szCs w:val="21"/>
                    </w:rPr>
                    <w:t>布袋除尘器+水膜+喷淋塔+UV光解+低温等离子</w:t>
                  </w:r>
                  <w:r>
                    <w:rPr>
                      <w:rFonts w:hint="eastAsia" w:ascii="Times New Roman" w:hAnsi="Times New Roman"/>
                      <w:bCs/>
                      <w:color w:val="auto"/>
                      <w:sz w:val="21"/>
                      <w:szCs w:val="21"/>
                      <w:lang w:val="en-US" w:eastAsia="zh-CN"/>
                    </w:rPr>
                    <w:t>+</w:t>
                  </w:r>
                  <w:r>
                    <w:rPr>
                      <w:rFonts w:hint="eastAsia"/>
                      <w:bCs/>
                      <w:color w:val="auto"/>
                      <w:sz w:val="21"/>
                      <w:szCs w:val="21"/>
                    </w:rPr>
                    <w:t>二级活性炭吸附处理设</w:t>
                  </w:r>
                  <w:r>
                    <w:rPr>
                      <w:rFonts w:ascii="Times New Roman" w:hAnsi="Times New Roman"/>
                      <w:bCs/>
                      <w:color w:val="auto"/>
                      <w:sz w:val="21"/>
                      <w:szCs w:val="21"/>
                    </w:rPr>
                    <w:t>备一同处理造粒、拉丝等废气。</w:t>
                  </w:r>
                </w:p>
              </w:tc>
              <w:tc>
                <w:tcPr>
                  <w:tcW w:w="454" w:type="pct"/>
                  <w:noWrap w:val="0"/>
                  <w:vAlign w:val="center"/>
                </w:tcPr>
                <w:p>
                  <w:pPr>
                    <w:spacing w:line="240" w:lineRule="auto"/>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10</w:t>
                  </w:r>
                </w:p>
              </w:tc>
              <w:tc>
                <w:tcPr>
                  <w:tcW w:w="116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ascii="Times New Roman" w:hAnsi="Times New Roman"/>
                      <w:bCs/>
                      <w:color w:val="auto"/>
                      <w:sz w:val="21"/>
                      <w:szCs w:val="21"/>
                    </w:rPr>
                    <w:t>布袋除尘器+水膜+喷淋塔+UV光解+低温等离子</w:t>
                  </w:r>
                  <w:r>
                    <w:rPr>
                      <w:rFonts w:hint="eastAsia" w:ascii="Times New Roman" w:hAnsi="Times New Roman"/>
                      <w:bCs/>
                      <w:color w:val="auto"/>
                      <w:sz w:val="21"/>
                      <w:szCs w:val="21"/>
                      <w:lang w:val="en-US" w:eastAsia="zh-CN"/>
                    </w:rPr>
                    <w:t>+</w:t>
                  </w:r>
                  <w:r>
                    <w:rPr>
                      <w:rFonts w:hint="eastAsia"/>
                      <w:bCs/>
                      <w:color w:val="auto"/>
                      <w:sz w:val="21"/>
                      <w:szCs w:val="21"/>
                    </w:rPr>
                    <w:t>二级活性炭吸附处理设</w:t>
                  </w:r>
                  <w:r>
                    <w:rPr>
                      <w:rFonts w:ascii="Times New Roman" w:hAnsi="Times New Roman"/>
                      <w:bCs/>
                      <w:color w:val="auto"/>
                      <w:sz w:val="21"/>
                      <w:szCs w:val="21"/>
                    </w:rPr>
                    <w:t>备一同处理造粒、拉丝等废气。</w:t>
                  </w:r>
                </w:p>
              </w:tc>
              <w:tc>
                <w:tcPr>
                  <w:tcW w:w="470"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c>
                <w:tcPr>
                  <w:tcW w:w="468"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48" w:type="pct"/>
                  <w:vMerge w:val="continue"/>
                  <w:noWrap w:val="0"/>
                  <w:vAlign w:val="center"/>
                </w:tcPr>
                <w:p>
                  <w:pPr>
                    <w:spacing w:line="240" w:lineRule="auto"/>
                    <w:jc w:val="center"/>
                    <w:rPr>
                      <w:rFonts w:ascii="Times New Roman" w:hAnsi="Times New Roman"/>
                      <w:color w:val="auto"/>
                      <w:sz w:val="21"/>
                      <w:szCs w:val="21"/>
                    </w:rPr>
                  </w:pPr>
                </w:p>
              </w:tc>
              <w:tc>
                <w:tcPr>
                  <w:tcW w:w="248" w:type="pct"/>
                  <w:vMerge w:val="continue"/>
                  <w:noWrap w:val="0"/>
                  <w:vAlign w:val="center"/>
                </w:tcPr>
                <w:p>
                  <w:pPr>
                    <w:spacing w:line="240" w:lineRule="auto"/>
                    <w:jc w:val="center"/>
                    <w:rPr>
                      <w:rFonts w:ascii="Times New Roman" w:hAnsi="Times New Roman"/>
                      <w:color w:val="auto"/>
                      <w:sz w:val="21"/>
                      <w:szCs w:val="21"/>
                    </w:rPr>
                  </w:pPr>
                </w:p>
              </w:tc>
              <w:tc>
                <w:tcPr>
                  <w:tcW w:w="492" w:type="pct"/>
                  <w:vMerge w:val="continue"/>
                  <w:noWrap w:val="0"/>
                  <w:vAlign w:val="center"/>
                </w:tcPr>
                <w:p>
                  <w:pPr>
                    <w:spacing w:line="240" w:lineRule="auto"/>
                    <w:jc w:val="center"/>
                    <w:rPr>
                      <w:rFonts w:ascii="Times New Roman" w:hAnsi="Times New Roman"/>
                      <w:color w:val="auto"/>
                      <w:sz w:val="21"/>
                      <w:szCs w:val="21"/>
                    </w:rPr>
                  </w:pPr>
                </w:p>
              </w:tc>
              <w:tc>
                <w:tcPr>
                  <w:tcW w:w="1449"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密闭厂房</w:t>
                  </w:r>
                </w:p>
              </w:tc>
              <w:tc>
                <w:tcPr>
                  <w:tcW w:w="454" w:type="pct"/>
                  <w:noWrap w:val="0"/>
                  <w:vAlign w:val="center"/>
                </w:tcPr>
                <w:p>
                  <w:pPr>
                    <w:spacing w:line="240" w:lineRule="auto"/>
                    <w:jc w:val="center"/>
                    <w:rPr>
                      <w:rFonts w:hint="eastAsia"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1</w:t>
                  </w:r>
                </w:p>
              </w:tc>
              <w:tc>
                <w:tcPr>
                  <w:tcW w:w="1168" w:type="pct"/>
                  <w:noWrap w:val="0"/>
                  <w:vAlign w:val="center"/>
                </w:tcPr>
                <w:p>
                  <w:pPr>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密闭厂房</w:t>
                  </w:r>
                </w:p>
              </w:tc>
              <w:tc>
                <w:tcPr>
                  <w:tcW w:w="470"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c>
                <w:tcPr>
                  <w:tcW w:w="468"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48" w:type="pct"/>
                  <w:vMerge w:val="continue"/>
                  <w:noWrap w:val="0"/>
                  <w:vAlign w:val="center"/>
                </w:tcPr>
                <w:p>
                  <w:pPr>
                    <w:spacing w:line="240" w:lineRule="auto"/>
                    <w:jc w:val="center"/>
                    <w:rPr>
                      <w:rFonts w:ascii="Times New Roman" w:hAnsi="Times New Roman"/>
                      <w:color w:val="auto"/>
                      <w:sz w:val="21"/>
                      <w:szCs w:val="21"/>
                    </w:rPr>
                  </w:pPr>
                </w:p>
              </w:tc>
              <w:tc>
                <w:tcPr>
                  <w:tcW w:w="248" w:type="pct"/>
                  <w:vMerge w:val="continue"/>
                  <w:noWrap w:val="0"/>
                  <w:vAlign w:val="center"/>
                </w:tcPr>
                <w:p>
                  <w:pPr>
                    <w:spacing w:line="240" w:lineRule="auto"/>
                    <w:jc w:val="center"/>
                    <w:rPr>
                      <w:rFonts w:ascii="Times New Roman" w:hAnsi="Times New Roman"/>
                      <w:color w:val="auto"/>
                      <w:sz w:val="21"/>
                      <w:szCs w:val="21"/>
                    </w:rPr>
                  </w:pPr>
                </w:p>
              </w:tc>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食堂油烟</w:t>
                  </w:r>
                </w:p>
              </w:tc>
              <w:tc>
                <w:tcPr>
                  <w:tcW w:w="1449"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油烟净化器</w:t>
                  </w:r>
                </w:p>
              </w:tc>
              <w:tc>
                <w:tcPr>
                  <w:tcW w:w="454" w:type="pct"/>
                  <w:noWrap w:val="0"/>
                  <w:vAlign w:val="center"/>
                </w:tcPr>
                <w:p>
                  <w:pPr>
                    <w:spacing w:line="240" w:lineRule="auto"/>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0.5</w:t>
                  </w:r>
                </w:p>
              </w:tc>
              <w:tc>
                <w:tcPr>
                  <w:tcW w:w="116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ascii="Times New Roman" w:hAnsi="Times New Roman"/>
                      <w:color w:val="auto"/>
                      <w:sz w:val="21"/>
                      <w:szCs w:val="21"/>
                    </w:rPr>
                    <w:t>油烟净化器</w:t>
                  </w:r>
                </w:p>
              </w:tc>
              <w:tc>
                <w:tcPr>
                  <w:tcW w:w="470"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c>
                <w:tcPr>
                  <w:tcW w:w="468"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48" w:type="pct"/>
                  <w:vMerge w:val="continue"/>
                  <w:noWrap w:val="0"/>
                  <w:vAlign w:val="center"/>
                </w:tcPr>
                <w:p>
                  <w:pPr>
                    <w:spacing w:line="240" w:lineRule="auto"/>
                    <w:jc w:val="center"/>
                    <w:rPr>
                      <w:rFonts w:ascii="Times New Roman" w:hAnsi="Times New Roman"/>
                      <w:color w:val="auto"/>
                      <w:sz w:val="21"/>
                      <w:szCs w:val="21"/>
                    </w:rPr>
                  </w:pPr>
                </w:p>
              </w:tc>
              <w:tc>
                <w:tcPr>
                  <w:tcW w:w="248" w:type="pct"/>
                  <w:noWrap w:val="0"/>
                  <w:vAlign w:val="center"/>
                </w:tcPr>
                <w:p>
                  <w:pPr>
                    <w:spacing w:line="240" w:lineRule="auto"/>
                    <w:jc w:val="center"/>
                    <w:rPr>
                      <w:rFonts w:ascii="Times New Roman" w:hAnsi="Times New Roman"/>
                      <w:color w:val="auto"/>
                      <w:sz w:val="21"/>
                      <w:szCs w:val="21"/>
                    </w:rPr>
                  </w:pPr>
                </w:p>
              </w:tc>
              <w:tc>
                <w:tcPr>
                  <w:tcW w:w="492"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污水处理站废气</w:t>
                  </w:r>
                </w:p>
              </w:tc>
              <w:tc>
                <w:tcPr>
                  <w:tcW w:w="1449"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敞布遮挡</w:t>
                  </w:r>
                </w:p>
              </w:tc>
              <w:tc>
                <w:tcPr>
                  <w:tcW w:w="454"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0.2</w:t>
                  </w:r>
                </w:p>
              </w:tc>
              <w:tc>
                <w:tcPr>
                  <w:tcW w:w="1168"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采用钢板或水泥板对ABR厌氧池、二级接触氧化池等易产生臭气处理池进行密封，确保臭气不外溢</w:t>
                  </w:r>
                </w:p>
              </w:tc>
              <w:tc>
                <w:tcPr>
                  <w:tcW w:w="470"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2</w:t>
                  </w:r>
                </w:p>
              </w:tc>
              <w:tc>
                <w:tcPr>
                  <w:tcW w:w="468" w:type="pct"/>
                  <w:noWrap w:val="0"/>
                  <w:vAlign w:val="center"/>
                </w:tcPr>
                <w:p>
                  <w:pPr>
                    <w:spacing w:line="240" w:lineRule="auto"/>
                    <w:jc w:val="center"/>
                    <w:rPr>
                      <w:rFonts w:hint="eastAsia" w:ascii="Times New Roman" w:hAnsi="Times New Roman"/>
                      <w:color w:val="auto"/>
                      <w:sz w:val="21"/>
                      <w:szCs w:val="21"/>
                      <w:lang w:val="en-US" w:eastAsia="zh-CN"/>
                    </w:rPr>
                  </w:pPr>
                  <w:r>
                    <w:rPr>
                      <w:rFonts w:hint="eastAsia"/>
                      <w:color w:val="auto"/>
                      <w:sz w:val="21"/>
                      <w:szCs w:val="21"/>
                      <w:lang w:val="en-US" w:eastAsia="zh-CN"/>
                    </w:rPr>
                    <w:t>以新带老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48" w:type="pct"/>
                  <w:vMerge w:val="continue"/>
                  <w:noWrap w:val="0"/>
                  <w:vAlign w:val="center"/>
                </w:tcPr>
                <w:p>
                  <w:pPr>
                    <w:spacing w:line="240" w:lineRule="auto"/>
                    <w:jc w:val="center"/>
                    <w:rPr>
                      <w:rFonts w:ascii="Times New Roman" w:hAnsi="Times New Roman"/>
                      <w:color w:val="auto"/>
                      <w:sz w:val="21"/>
                      <w:szCs w:val="21"/>
                    </w:rPr>
                  </w:pPr>
                </w:p>
              </w:tc>
              <w:tc>
                <w:tcPr>
                  <w:tcW w:w="248"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噪声</w:t>
                  </w:r>
                </w:p>
              </w:tc>
              <w:tc>
                <w:tcPr>
                  <w:tcW w:w="492" w:type="pc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设备噪声</w:t>
                  </w:r>
                </w:p>
              </w:tc>
              <w:tc>
                <w:tcPr>
                  <w:tcW w:w="1449" w:type="pct"/>
                  <w:noWrap w:val="0"/>
                  <w:vAlign w:val="center"/>
                </w:tcPr>
                <w:p>
                  <w:pPr>
                    <w:spacing w:line="240" w:lineRule="auto"/>
                    <w:rPr>
                      <w:rFonts w:ascii="Times New Roman" w:hAnsi="Times New Roman"/>
                      <w:color w:val="auto"/>
                      <w:sz w:val="21"/>
                      <w:szCs w:val="21"/>
                    </w:rPr>
                  </w:pPr>
                  <w:r>
                    <w:rPr>
                      <w:rFonts w:ascii="Times New Roman" w:hAnsi="Times New Roman"/>
                      <w:color w:val="auto"/>
                      <w:sz w:val="21"/>
                      <w:szCs w:val="21"/>
                    </w:rPr>
                    <w:t>生产车间全封闭；</w:t>
                  </w:r>
                  <w:r>
                    <w:rPr>
                      <w:rFonts w:ascii="Times New Roman" w:hAnsi="Times New Roman"/>
                      <w:color w:val="auto"/>
                      <w:kern w:val="0"/>
                      <w:sz w:val="21"/>
                      <w:szCs w:val="21"/>
                    </w:rPr>
                    <w:t>生产设备采取减震、厂房隔声；动力设备采取减震、隔声、消声等降噪措施</w:t>
                  </w:r>
                </w:p>
              </w:tc>
              <w:tc>
                <w:tcPr>
                  <w:tcW w:w="454" w:type="pct"/>
                  <w:noWrap w:val="0"/>
                  <w:vAlign w:val="center"/>
                </w:tcPr>
                <w:p>
                  <w:pPr>
                    <w:spacing w:line="240" w:lineRule="auto"/>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1.5</w:t>
                  </w:r>
                </w:p>
              </w:tc>
              <w:tc>
                <w:tcPr>
                  <w:tcW w:w="116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厂房密闭、</w:t>
                  </w:r>
                  <w:r>
                    <w:rPr>
                      <w:rFonts w:hint="eastAsia"/>
                      <w:color w:val="auto"/>
                      <w:sz w:val="21"/>
                      <w:szCs w:val="21"/>
                      <w:lang w:val="en-US" w:eastAsia="zh-CN"/>
                    </w:rPr>
                    <w:t>安装</w:t>
                  </w:r>
                  <w:r>
                    <w:rPr>
                      <w:rFonts w:hint="eastAsia" w:ascii="Times New Roman" w:hAnsi="Times New Roman"/>
                      <w:color w:val="auto"/>
                      <w:sz w:val="21"/>
                      <w:szCs w:val="21"/>
                      <w:lang w:val="en-US" w:eastAsia="zh-CN"/>
                    </w:rPr>
                    <w:t>隔音玻璃</w:t>
                  </w:r>
                </w:p>
              </w:tc>
              <w:tc>
                <w:tcPr>
                  <w:tcW w:w="470"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10</w:t>
                  </w:r>
                </w:p>
              </w:tc>
              <w:tc>
                <w:tcPr>
                  <w:tcW w:w="468" w:type="pct"/>
                  <w:noWrap w:val="0"/>
                  <w:vAlign w:val="center"/>
                </w:tcPr>
                <w:p>
                  <w:pPr>
                    <w:spacing w:line="240" w:lineRule="auto"/>
                    <w:jc w:val="center"/>
                    <w:rPr>
                      <w:rFonts w:hint="eastAsia" w:ascii="Times New Roman" w:hAnsi="Times New Roman" w:eastAsia="宋体"/>
                      <w:color w:val="auto"/>
                      <w:sz w:val="21"/>
                      <w:szCs w:val="21"/>
                      <w:lang w:eastAsia="zh-CN"/>
                    </w:rPr>
                  </w:pPr>
                  <w:r>
                    <w:rPr>
                      <w:rFonts w:hint="eastAsia"/>
                      <w:color w:val="auto"/>
                      <w:sz w:val="21"/>
                      <w:szCs w:val="21"/>
                      <w:lang w:val="en-US" w:eastAsia="zh-CN"/>
                    </w:rPr>
                    <w:t>以新带老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48" w:type="pct"/>
                  <w:vMerge w:val="continue"/>
                  <w:noWrap w:val="0"/>
                  <w:vAlign w:val="center"/>
                </w:tcPr>
                <w:p>
                  <w:pPr>
                    <w:spacing w:line="240" w:lineRule="auto"/>
                    <w:jc w:val="center"/>
                    <w:rPr>
                      <w:rFonts w:ascii="Times New Roman" w:hAnsi="Times New Roman"/>
                      <w:color w:val="auto"/>
                      <w:sz w:val="21"/>
                      <w:szCs w:val="21"/>
                    </w:rPr>
                  </w:pPr>
                </w:p>
              </w:tc>
              <w:tc>
                <w:tcPr>
                  <w:tcW w:w="248" w:type="pct"/>
                  <w:vMerge w:val="restart"/>
                  <w:noWrap w:val="0"/>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固废</w:t>
                  </w:r>
                </w:p>
              </w:tc>
              <w:tc>
                <w:tcPr>
                  <w:tcW w:w="492" w:type="pct"/>
                  <w:noWrap w:val="0"/>
                  <w:vAlign w:val="center"/>
                </w:tcPr>
                <w:p>
                  <w:pPr>
                    <w:tabs>
                      <w:tab w:val="left" w:pos="1155"/>
                    </w:tabs>
                    <w:spacing w:line="240" w:lineRule="auto"/>
                    <w:jc w:val="center"/>
                    <w:rPr>
                      <w:rFonts w:ascii="Times New Roman" w:hAnsi="Times New Roman"/>
                      <w:color w:val="auto"/>
                      <w:spacing w:val="-10"/>
                      <w:sz w:val="21"/>
                      <w:szCs w:val="21"/>
                    </w:rPr>
                  </w:pPr>
                  <w:r>
                    <w:rPr>
                      <w:rFonts w:ascii="Times New Roman" w:hAnsi="Times New Roman"/>
                      <w:color w:val="auto"/>
                      <w:spacing w:val="-10"/>
                      <w:sz w:val="21"/>
                      <w:szCs w:val="21"/>
                    </w:rPr>
                    <w:t>一般固废</w:t>
                  </w:r>
                </w:p>
              </w:tc>
              <w:tc>
                <w:tcPr>
                  <w:tcW w:w="1449" w:type="pct"/>
                  <w:noWrap w:val="0"/>
                  <w:vAlign w:val="center"/>
                </w:tcPr>
                <w:p>
                  <w:pPr>
                    <w:spacing w:line="240" w:lineRule="auto"/>
                    <w:rPr>
                      <w:rFonts w:ascii="Times New Roman" w:hAnsi="Times New Roman"/>
                      <w:bCs/>
                      <w:color w:val="auto"/>
                      <w:sz w:val="21"/>
                      <w:szCs w:val="21"/>
                    </w:rPr>
                  </w:pPr>
                  <w:r>
                    <w:rPr>
                      <w:rFonts w:ascii="Times New Roman" w:hAnsi="Times New Roman"/>
                      <w:color w:val="auto"/>
                      <w:sz w:val="21"/>
                      <w:szCs w:val="21"/>
                    </w:rPr>
                    <w:t>委托环卫部门清运、处置</w:t>
                  </w:r>
                </w:p>
              </w:tc>
              <w:tc>
                <w:tcPr>
                  <w:tcW w:w="454" w:type="pct"/>
                  <w:noWrap w:val="0"/>
                  <w:vAlign w:val="center"/>
                </w:tcPr>
                <w:p>
                  <w:pPr>
                    <w:spacing w:line="240" w:lineRule="auto"/>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1.0</w:t>
                  </w:r>
                </w:p>
              </w:tc>
              <w:tc>
                <w:tcPr>
                  <w:tcW w:w="116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ascii="Times New Roman" w:hAnsi="Times New Roman"/>
                      <w:color w:val="auto"/>
                      <w:sz w:val="21"/>
                      <w:szCs w:val="21"/>
                    </w:rPr>
                    <w:t>委托环卫部门清运、处置</w:t>
                  </w:r>
                </w:p>
              </w:tc>
              <w:tc>
                <w:tcPr>
                  <w:tcW w:w="470"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c>
                <w:tcPr>
                  <w:tcW w:w="468" w:type="pct"/>
                  <w:noWrap w:val="0"/>
                  <w:vAlign w:val="center"/>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48" w:type="pct"/>
                  <w:vMerge w:val="continue"/>
                  <w:noWrap w:val="0"/>
                  <w:vAlign w:val="center"/>
                </w:tcPr>
                <w:p>
                  <w:pPr>
                    <w:spacing w:line="240" w:lineRule="auto"/>
                    <w:jc w:val="center"/>
                    <w:rPr>
                      <w:rFonts w:ascii="Times New Roman" w:hAnsi="Times New Roman"/>
                      <w:color w:val="auto"/>
                      <w:sz w:val="21"/>
                      <w:szCs w:val="21"/>
                    </w:rPr>
                  </w:pPr>
                </w:p>
              </w:tc>
              <w:tc>
                <w:tcPr>
                  <w:tcW w:w="248" w:type="pct"/>
                  <w:vMerge w:val="continue"/>
                  <w:noWrap w:val="0"/>
                  <w:vAlign w:val="center"/>
                </w:tcPr>
                <w:p>
                  <w:pPr>
                    <w:spacing w:line="240" w:lineRule="auto"/>
                    <w:jc w:val="center"/>
                    <w:rPr>
                      <w:rFonts w:ascii="Times New Roman" w:hAnsi="Times New Roman"/>
                      <w:color w:val="auto"/>
                      <w:sz w:val="21"/>
                      <w:szCs w:val="21"/>
                    </w:rPr>
                  </w:pPr>
                </w:p>
              </w:tc>
              <w:tc>
                <w:tcPr>
                  <w:tcW w:w="492" w:type="pct"/>
                  <w:vMerge w:val="restart"/>
                  <w:noWrap w:val="0"/>
                  <w:vAlign w:val="center"/>
                </w:tcPr>
                <w:p>
                  <w:pPr>
                    <w:tabs>
                      <w:tab w:val="left" w:pos="1155"/>
                    </w:tabs>
                    <w:spacing w:line="240" w:lineRule="auto"/>
                    <w:jc w:val="center"/>
                    <w:rPr>
                      <w:rFonts w:ascii="Times New Roman" w:hAnsi="Times New Roman"/>
                      <w:color w:val="auto"/>
                      <w:spacing w:val="-10"/>
                      <w:sz w:val="21"/>
                      <w:szCs w:val="21"/>
                    </w:rPr>
                  </w:pPr>
                  <w:r>
                    <w:rPr>
                      <w:rFonts w:ascii="Times New Roman" w:hAnsi="Times New Roman"/>
                      <w:color w:val="auto"/>
                      <w:spacing w:val="-10"/>
                      <w:sz w:val="21"/>
                      <w:szCs w:val="21"/>
                    </w:rPr>
                    <w:t>危险废物</w:t>
                  </w:r>
                </w:p>
              </w:tc>
              <w:tc>
                <w:tcPr>
                  <w:tcW w:w="1449" w:type="pct"/>
                  <w:noWrap w:val="0"/>
                  <w:vAlign w:val="center"/>
                </w:tcPr>
                <w:p>
                  <w:pPr>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危废暂存间、增设分类收集标识，做好防渗处理</w:t>
                  </w:r>
                </w:p>
              </w:tc>
              <w:tc>
                <w:tcPr>
                  <w:tcW w:w="454"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16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新增导流沟、围堰、托盘等。危废</w:t>
                  </w:r>
                  <w:r>
                    <w:rPr>
                      <w:rFonts w:hint="eastAsia" w:ascii="Times New Roman" w:hAnsi="Times New Roman" w:eastAsia="宋体" w:cs="Times New Roman"/>
                      <w:color w:val="auto"/>
                      <w:sz w:val="21"/>
                      <w:szCs w:val="21"/>
                      <w:lang w:val="en-US" w:eastAsia="zh-CN"/>
                    </w:rPr>
                    <w:t>分类存放，完善台账</w:t>
                  </w:r>
                  <w:r>
                    <w:rPr>
                      <w:rFonts w:hint="eastAsia" w:cs="Times New Roman"/>
                      <w:color w:val="auto"/>
                      <w:sz w:val="21"/>
                      <w:szCs w:val="21"/>
                      <w:lang w:val="en-US" w:eastAsia="zh-CN"/>
                    </w:rPr>
                    <w:t>。</w:t>
                  </w:r>
                </w:p>
              </w:tc>
              <w:tc>
                <w:tcPr>
                  <w:tcW w:w="470"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2</w:t>
                  </w:r>
                </w:p>
              </w:tc>
              <w:tc>
                <w:tcPr>
                  <w:tcW w:w="468" w:type="pct"/>
                  <w:noWrap w:val="0"/>
                  <w:vAlign w:val="center"/>
                </w:tcPr>
                <w:p>
                  <w:pPr>
                    <w:spacing w:line="240" w:lineRule="auto"/>
                    <w:jc w:val="center"/>
                    <w:rPr>
                      <w:rFonts w:ascii="Times New Roman" w:hAnsi="Times New Roman"/>
                      <w:color w:val="auto"/>
                      <w:sz w:val="21"/>
                      <w:szCs w:val="21"/>
                    </w:rPr>
                  </w:pPr>
                  <w:r>
                    <w:rPr>
                      <w:rFonts w:hint="eastAsia"/>
                      <w:color w:val="auto"/>
                      <w:sz w:val="21"/>
                      <w:szCs w:val="21"/>
                      <w:lang w:val="en-US" w:eastAsia="zh-CN"/>
                    </w:rPr>
                    <w:t>以新带老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48" w:type="pct"/>
                  <w:vMerge w:val="continue"/>
                  <w:noWrap w:val="0"/>
                  <w:vAlign w:val="center"/>
                </w:tcPr>
                <w:p>
                  <w:pPr>
                    <w:spacing w:line="240" w:lineRule="auto"/>
                    <w:jc w:val="center"/>
                    <w:rPr>
                      <w:rFonts w:ascii="Times New Roman" w:hAnsi="Times New Roman"/>
                      <w:color w:val="auto"/>
                      <w:sz w:val="21"/>
                      <w:szCs w:val="21"/>
                    </w:rPr>
                  </w:pPr>
                </w:p>
              </w:tc>
              <w:tc>
                <w:tcPr>
                  <w:tcW w:w="248" w:type="pct"/>
                  <w:vMerge w:val="continue"/>
                  <w:noWrap w:val="0"/>
                  <w:vAlign w:val="center"/>
                </w:tcPr>
                <w:p>
                  <w:pPr>
                    <w:spacing w:line="240" w:lineRule="auto"/>
                    <w:jc w:val="center"/>
                    <w:rPr>
                      <w:rFonts w:ascii="Times New Roman" w:hAnsi="Times New Roman"/>
                      <w:color w:val="auto"/>
                      <w:sz w:val="21"/>
                      <w:szCs w:val="21"/>
                    </w:rPr>
                  </w:pPr>
                </w:p>
              </w:tc>
              <w:tc>
                <w:tcPr>
                  <w:tcW w:w="492" w:type="pct"/>
                  <w:vMerge w:val="continue"/>
                  <w:noWrap w:val="0"/>
                  <w:vAlign w:val="center"/>
                </w:tcPr>
                <w:p>
                  <w:pPr>
                    <w:tabs>
                      <w:tab w:val="left" w:pos="1155"/>
                    </w:tabs>
                    <w:spacing w:line="240" w:lineRule="auto"/>
                    <w:jc w:val="center"/>
                    <w:rPr>
                      <w:rFonts w:ascii="Times New Roman" w:hAnsi="Times New Roman"/>
                      <w:color w:val="auto"/>
                      <w:spacing w:val="-10"/>
                      <w:sz w:val="21"/>
                      <w:szCs w:val="21"/>
                    </w:rPr>
                  </w:pPr>
                </w:p>
              </w:tc>
              <w:tc>
                <w:tcPr>
                  <w:tcW w:w="1449" w:type="pct"/>
                  <w:noWrap w:val="0"/>
                  <w:vAlign w:val="center"/>
                </w:tcPr>
                <w:p>
                  <w:pPr>
                    <w:spacing w:line="240" w:lineRule="auto"/>
                    <w:rPr>
                      <w:rFonts w:ascii="Times New Roman" w:hAnsi="Times New Roman"/>
                      <w:color w:val="auto"/>
                      <w:sz w:val="21"/>
                      <w:szCs w:val="21"/>
                    </w:rPr>
                  </w:pPr>
                  <w:r>
                    <w:rPr>
                      <w:rFonts w:ascii="Times New Roman" w:hAnsi="Times New Roman"/>
                      <w:color w:val="auto"/>
                      <w:sz w:val="21"/>
                      <w:szCs w:val="21"/>
                    </w:rPr>
                    <w:t>委托资质单位处理</w:t>
                  </w:r>
                </w:p>
              </w:tc>
              <w:tc>
                <w:tcPr>
                  <w:tcW w:w="454" w:type="pct"/>
                  <w:noWrap w:val="0"/>
                  <w:vAlign w:val="center"/>
                </w:tcPr>
                <w:p>
                  <w:pPr>
                    <w:spacing w:line="240" w:lineRule="auto"/>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2.0</w:t>
                  </w:r>
                </w:p>
              </w:tc>
              <w:tc>
                <w:tcPr>
                  <w:tcW w:w="116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ascii="Times New Roman" w:hAnsi="Times New Roman"/>
                      <w:color w:val="auto"/>
                      <w:sz w:val="21"/>
                      <w:szCs w:val="21"/>
                    </w:rPr>
                    <w:t>委托资质单位处理</w:t>
                  </w:r>
                  <w:r>
                    <w:rPr>
                      <w:rFonts w:hint="eastAsia"/>
                      <w:color w:val="auto"/>
                      <w:sz w:val="21"/>
                      <w:szCs w:val="21"/>
                      <w:lang w:eastAsia="zh-CN"/>
                    </w:rPr>
                    <w:t>，</w:t>
                  </w:r>
                  <w:r>
                    <w:rPr>
                      <w:rFonts w:hint="eastAsia"/>
                      <w:color w:val="auto"/>
                      <w:sz w:val="21"/>
                      <w:szCs w:val="21"/>
                      <w:lang w:val="en-US" w:eastAsia="zh-CN"/>
                    </w:rPr>
                    <w:t>新增危废废过滤网</w:t>
                  </w:r>
                </w:p>
              </w:tc>
              <w:tc>
                <w:tcPr>
                  <w:tcW w:w="470"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0.5</w:t>
                  </w:r>
                </w:p>
              </w:tc>
              <w:tc>
                <w:tcPr>
                  <w:tcW w:w="468" w:type="pct"/>
                  <w:noWrap w:val="0"/>
                  <w:vAlign w:val="center"/>
                </w:tcPr>
                <w:p>
                  <w:pPr>
                    <w:spacing w:line="240" w:lineRule="auto"/>
                    <w:jc w:val="center"/>
                    <w:rPr>
                      <w:rFonts w:ascii="Times New Roman" w:hAnsi="Times New Roman"/>
                      <w:color w:val="auto"/>
                      <w:sz w:val="21"/>
                      <w:szCs w:val="21"/>
                    </w:rPr>
                  </w:pPr>
                  <w:r>
                    <w:rPr>
                      <w:rFonts w:hint="eastAsia"/>
                      <w:color w:val="auto"/>
                      <w:sz w:val="21"/>
                      <w:szCs w:val="21"/>
                      <w:lang w:val="en-US" w:eastAsia="zh-CN"/>
                    </w:rPr>
                    <w:t>以新带老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48" w:type="pct"/>
                  <w:vMerge w:val="continue"/>
                  <w:noWrap w:val="0"/>
                  <w:vAlign w:val="center"/>
                </w:tcPr>
                <w:p>
                  <w:pPr>
                    <w:spacing w:line="240" w:lineRule="auto"/>
                    <w:jc w:val="center"/>
                    <w:rPr>
                      <w:rFonts w:ascii="Times New Roman" w:hAnsi="Times New Roman"/>
                      <w:color w:val="auto"/>
                      <w:sz w:val="21"/>
                      <w:szCs w:val="21"/>
                    </w:rPr>
                  </w:pPr>
                </w:p>
              </w:tc>
              <w:tc>
                <w:tcPr>
                  <w:tcW w:w="740" w:type="pct"/>
                  <w:gridSpan w:val="2"/>
                  <w:noWrap w:val="0"/>
                  <w:vAlign w:val="center"/>
                </w:tcPr>
                <w:p>
                  <w:pPr>
                    <w:tabs>
                      <w:tab w:val="left" w:pos="1155"/>
                    </w:tabs>
                    <w:spacing w:line="240" w:lineRule="auto"/>
                    <w:jc w:val="center"/>
                    <w:rPr>
                      <w:rFonts w:hint="eastAsia" w:ascii="Times New Roman" w:hAnsi="Times New Roman"/>
                      <w:color w:val="auto"/>
                      <w:spacing w:val="-10"/>
                      <w:sz w:val="21"/>
                      <w:szCs w:val="21"/>
                    </w:rPr>
                  </w:pPr>
                  <w:r>
                    <w:rPr>
                      <w:rFonts w:hint="eastAsia" w:ascii="Times New Roman" w:hAnsi="Times New Roman"/>
                      <w:color w:val="auto"/>
                      <w:spacing w:val="-10"/>
                      <w:sz w:val="21"/>
                      <w:szCs w:val="21"/>
                    </w:rPr>
                    <w:t>风险管理</w:t>
                  </w:r>
                </w:p>
              </w:tc>
              <w:tc>
                <w:tcPr>
                  <w:tcW w:w="1449" w:type="pct"/>
                  <w:noWrap w:val="0"/>
                  <w:vAlign w:val="center"/>
                </w:tcPr>
                <w:p>
                  <w:pPr>
                    <w:spacing w:line="240" w:lineRule="auto"/>
                    <w:rPr>
                      <w:rFonts w:ascii="Times New Roman" w:hAnsi="Times New Roman"/>
                      <w:color w:val="auto"/>
                      <w:sz w:val="21"/>
                      <w:szCs w:val="21"/>
                    </w:rPr>
                  </w:pPr>
                  <w:r>
                    <w:rPr>
                      <w:rFonts w:hint="eastAsia" w:ascii="Times New Roman" w:hAnsi="Times New Roman"/>
                      <w:color w:val="auto"/>
                      <w:sz w:val="21"/>
                      <w:szCs w:val="21"/>
                    </w:rPr>
                    <w:t>加强风险管理，制定环境风险应急预案</w:t>
                  </w:r>
                </w:p>
              </w:tc>
              <w:tc>
                <w:tcPr>
                  <w:tcW w:w="454" w:type="pct"/>
                  <w:noWrap w:val="0"/>
                  <w:vAlign w:val="center"/>
                </w:tcPr>
                <w:p>
                  <w:pPr>
                    <w:spacing w:line="240" w:lineRule="auto"/>
                    <w:jc w:val="center"/>
                    <w:rPr>
                      <w:rFonts w:hint="eastAsia" w:ascii="Times New Roman" w:hAnsi="Times New Roman"/>
                      <w:color w:val="auto"/>
                      <w:sz w:val="21"/>
                      <w:szCs w:val="21"/>
                    </w:rPr>
                  </w:pPr>
                  <w:r>
                    <w:rPr>
                      <w:rFonts w:hint="eastAsia" w:ascii="Times New Roman" w:hAnsi="Times New Roman"/>
                      <w:color w:val="auto"/>
                      <w:sz w:val="21"/>
                      <w:szCs w:val="21"/>
                    </w:rPr>
                    <w:t>3</w:t>
                  </w:r>
                  <w:r>
                    <w:rPr>
                      <w:rFonts w:hint="eastAsia" w:ascii="Times New Roman" w:hAnsi="Times New Roman"/>
                      <w:color w:val="auto"/>
                      <w:sz w:val="21"/>
                      <w:szCs w:val="21"/>
                      <w:lang w:val="en-US" w:eastAsia="zh-CN"/>
                    </w:rPr>
                    <w:t>.0</w:t>
                  </w:r>
                </w:p>
              </w:tc>
              <w:tc>
                <w:tcPr>
                  <w:tcW w:w="1168" w:type="pct"/>
                  <w:noWrap w:val="0"/>
                  <w:vAlign w:val="center"/>
                </w:tcPr>
                <w:p>
                  <w:pPr>
                    <w:spacing w:line="240" w:lineRule="auto"/>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rPr>
                    <w:t>加强风险管理，制定环境风险应急预案</w:t>
                  </w:r>
                </w:p>
              </w:tc>
              <w:tc>
                <w:tcPr>
                  <w:tcW w:w="470" w:type="pct"/>
                  <w:noWrap w:val="0"/>
                  <w:vAlign w:val="center"/>
                </w:tcPr>
                <w:p>
                  <w:pPr>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w:t>
                  </w:r>
                </w:p>
              </w:tc>
              <w:tc>
                <w:tcPr>
                  <w:tcW w:w="46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48" w:type="pct"/>
                  <w:vMerge w:val="continue"/>
                  <w:noWrap w:val="0"/>
                  <w:vAlign w:val="center"/>
                </w:tcPr>
                <w:p>
                  <w:pPr>
                    <w:spacing w:line="240" w:lineRule="auto"/>
                    <w:jc w:val="center"/>
                    <w:rPr>
                      <w:rFonts w:ascii="Times New Roman" w:hAnsi="Times New Roman"/>
                      <w:color w:val="auto"/>
                      <w:sz w:val="21"/>
                      <w:szCs w:val="21"/>
                    </w:rPr>
                  </w:pPr>
                </w:p>
              </w:tc>
              <w:tc>
                <w:tcPr>
                  <w:tcW w:w="740" w:type="pct"/>
                  <w:gridSpan w:val="2"/>
                  <w:noWrap w:val="0"/>
                  <w:vAlign w:val="center"/>
                </w:tcPr>
                <w:p>
                  <w:pPr>
                    <w:tabs>
                      <w:tab w:val="left" w:pos="1155"/>
                    </w:tabs>
                    <w:spacing w:line="240" w:lineRule="auto"/>
                    <w:jc w:val="center"/>
                    <w:rPr>
                      <w:rFonts w:hint="default" w:ascii="Times New Roman" w:hAnsi="Times New Roman" w:eastAsia="宋体"/>
                      <w:color w:val="auto"/>
                      <w:spacing w:val="-10"/>
                      <w:sz w:val="21"/>
                      <w:szCs w:val="21"/>
                      <w:lang w:val="en-US" w:eastAsia="zh-CN"/>
                    </w:rPr>
                  </w:pPr>
                  <w:r>
                    <w:rPr>
                      <w:rFonts w:hint="eastAsia"/>
                      <w:color w:val="auto"/>
                      <w:spacing w:val="-10"/>
                      <w:sz w:val="21"/>
                      <w:szCs w:val="21"/>
                      <w:lang w:val="en-US" w:eastAsia="zh-CN"/>
                    </w:rPr>
                    <w:t>环境管理</w:t>
                  </w:r>
                </w:p>
              </w:tc>
              <w:tc>
                <w:tcPr>
                  <w:tcW w:w="1449" w:type="pct"/>
                  <w:noWrap w:val="0"/>
                  <w:vAlign w:val="center"/>
                </w:tcPr>
                <w:p>
                  <w:pPr>
                    <w:spacing w:line="240" w:lineRule="auto"/>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454" w:type="pct"/>
                  <w:noWrap w:val="0"/>
                  <w:vAlign w:val="center"/>
                </w:tcPr>
                <w:p>
                  <w:pPr>
                    <w:spacing w:line="240" w:lineRule="auto"/>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116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加强管理，对厂区进行分区分类规范管理，定期开展环保培训</w:t>
                  </w:r>
                </w:p>
              </w:tc>
              <w:tc>
                <w:tcPr>
                  <w:tcW w:w="470"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3</w:t>
                  </w:r>
                </w:p>
              </w:tc>
              <w:tc>
                <w:tcPr>
                  <w:tcW w:w="468" w:type="pct"/>
                  <w:noWrap w:val="0"/>
                  <w:vAlign w:val="center"/>
                </w:tcPr>
                <w:p>
                  <w:pPr>
                    <w:spacing w:line="240" w:lineRule="auto"/>
                    <w:jc w:val="center"/>
                    <w:rPr>
                      <w:rFonts w:hint="eastAsia" w:ascii="Times New Roman" w:hAnsi="Times New Roman"/>
                      <w:color w:val="auto"/>
                      <w:sz w:val="21"/>
                      <w:szCs w:val="21"/>
                      <w:lang w:val="en-US" w:eastAsia="zh-CN"/>
                    </w:rPr>
                  </w:pPr>
                  <w:r>
                    <w:rPr>
                      <w:rFonts w:hint="eastAsia"/>
                      <w:color w:val="auto"/>
                      <w:sz w:val="21"/>
                      <w:szCs w:val="21"/>
                      <w:lang w:val="en-US" w:eastAsia="zh-CN"/>
                    </w:rPr>
                    <w:t>以新带老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7" w:type="pct"/>
                  <w:gridSpan w:val="4"/>
                  <w:noWrap w:val="0"/>
                  <w:vAlign w:val="center"/>
                </w:tcPr>
                <w:p>
                  <w:pPr>
                    <w:spacing w:line="240" w:lineRule="auto"/>
                    <w:jc w:val="center"/>
                    <w:rPr>
                      <w:rFonts w:ascii="Times New Roman" w:hAnsi="Times New Roman"/>
                      <w:color w:val="auto"/>
                      <w:sz w:val="21"/>
                      <w:szCs w:val="21"/>
                    </w:rPr>
                  </w:pPr>
                  <w:r>
                    <w:rPr>
                      <w:rFonts w:ascii="Times New Roman" w:hAnsi="Times New Roman"/>
                      <w:bCs/>
                      <w:color w:val="auto"/>
                      <w:sz w:val="21"/>
                      <w:szCs w:val="21"/>
                    </w:rPr>
                    <w:t>合计</w:t>
                  </w:r>
                </w:p>
              </w:tc>
              <w:tc>
                <w:tcPr>
                  <w:tcW w:w="454" w:type="pct"/>
                  <w:noWrap w:val="0"/>
                  <w:vAlign w:val="center"/>
                </w:tcPr>
                <w:p>
                  <w:pPr>
                    <w:spacing w:line="240" w:lineRule="auto"/>
                    <w:jc w:val="center"/>
                    <w:rPr>
                      <w:rFonts w:hint="default" w:ascii="Times New Roman" w:hAnsi="Times New Roman" w:eastAsia="宋体"/>
                      <w:bCs/>
                      <w:color w:val="auto"/>
                      <w:sz w:val="21"/>
                      <w:szCs w:val="21"/>
                      <w:lang w:val="en-US" w:eastAsia="zh-CN"/>
                    </w:rPr>
                  </w:pPr>
                  <w:r>
                    <w:rPr>
                      <w:rFonts w:hint="eastAsia" w:ascii="Times New Roman" w:hAnsi="Times New Roman"/>
                      <w:bCs/>
                      <w:color w:val="auto"/>
                      <w:sz w:val="21"/>
                      <w:szCs w:val="21"/>
                      <w:lang w:val="en-US" w:eastAsia="zh-CN"/>
                    </w:rPr>
                    <w:t>27</w:t>
                  </w:r>
                  <w:r>
                    <w:rPr>
                      <w:rFonts w:hint="eastAsia"/>
                      <w:bCs/>
                      <w:color w:val="auto"/>
                      <w:sz w:val="21"/>
                      <w:szCs w:val="21"/>
                      <w:lang w:val="en-US" w:eastAsia="zh-CN"/>
                    </w:rPr>
                    <w:t>.2</w:t>
                  </w:r>
                </w:p>
              </w:tc>
              <w:tc>
                <w:tcPr>
                  <w:tcW w:w="1168" w:type="pct"/>
                  <w:noWrap w:val="0"/>
                  <w:vAlign w:val="center"/>
                </w:tcPr>
                <w:p>
                  <w:pPr>
                    <w:spacing w:line="240" w:lineRule="auto"/>
                    <w:jc w:val="center"/>
                    <w:rPr>
                      <w:rFonts w:hint="default" w:ascii="Times New Roman" w:hAnsi="Times New Roman" w:eastAsia="宋体"/>
                      <w:color w:val="auto"/>
                      <w:sz w:val="21"/>
                      <w:szCs w:val="21"/>
                      <w:lang w:val="en-US" w:eastAsia="zh-CN"/>
                    </w:rPr>
                  </w:pPr>
                </w:p>
              </w:tc>
              <w:tc>
                <w:tcPr>
                  <w:tcW w:w="470" w:type="pct"/>
                  <w:noWrap w:val="0"/>
                  <w:vAlign w:val="center"/>
                </w:tcPr>
                <w:p>
                  <w:pPr>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17.5</w:t>
                  </w:r>
                </w:p>
              </w:tc>
              <w:tc>
                <w:tcPr>
                  <w:tcW w:w="468" w:type="pct"/>
                  <w:noWrap w:val="0"/>
                  <w:vAlign w:val="center"/>
                </w:tcPr>
                <w:p>
                  <w:pPr>
                    <w:spacing w:line="240" w:lineRule="auto"/>
                    <w:jc w:val="center"/>
                    <w:rPr>
                      <w:rFonts w:hint="eastAsia" w:ascii="Times New Roman" w:hAnsi="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7" w:type="pct"/>
                  <w:gridSpan w:val="4"/>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技改后环保总投资额</w:t>
                  </w:r>
                </w:p>
              </w:tc>
              <w:tc>
                <w:tcPr>
                  <w:tcW w:w="2562" w:type="pct"/>
                  <w:gridSpan w:val="4"/>
                  <w:noWrap w:val="0"/>
                  <w:vAlign w:val="center"/>
                </w:tcPr>
                <w:p>
                  <w:pPr>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44.7</w:t>
                  </w:r>
                </w:p>
              </w:tc>
            </w:tr>
          </w:tbl>
          <w:p>
            <w:pPr>
              <w:pStyle w:val="19"/>
              <w:ind w:left="0" w:leftChars="0"/>
              <w:jc w:val="center"/>
              <w:rPr>
                <w:rFonts w:ascii="Times New Roman" w:hAnsi="Times New Roman"/>
                <w:color w:val="auto"/>
                <w:szCs w:val="21"/>
              </w:rPr>
            </w:pPr>
          </w:p>
        </w:tc>
      </w:tr>
    </w:tbl>
    <w:p>
      <w:pPr>
        <w:adjustRightInd w:val="0"/>
        <w:snapToGrid w:val="0"/>
        <w:spacing w:line="360" w:lineRule="auto"/>
        <w:rPr>
          <w:rFonts w:hint="eastAsia" w:ascii="宋体" w:cs="宋体"/>
          <w:b/>
          <w:color w:val="auto"/>
          <w:kern w:val="0"/>
          <w:sz w:val="28"/>
          <w:szCs w:val="28"/>
        </w:rPr>
        <w:sectPr>
          <w:pgSz w:w="11907" w:h="16840"/>
          <w:pgMar w:top="1440" w:right="1417" w:bottom="1440" w:left="1417" w:header="851" w:footer="851" w:gutter="0"/>
          <w:pgBorders>
            <w:top w:val="none" w:sz="0" w:space="0"/>
            <w:left w:val="none" w:sz="0" w:space="0"/>
            <w:bottom w:val="none" w:sz="0" w:space="0"/>
            <w:right w:val="none" w:sz="0" w:space="0"/>
          </w:pgBorders>
          <w:cols w:space="720" w:num="1"/>
          <w:docGrid w:linePitch="312" w:charSpace="0"/>
        </w:sectPr>
      </w:pPr>
    </w:p>
    <w:p>
      <w:pPr>
        <w:pStyle w:val="25"/>
        <w:spacing w:before="0" w:beforeAutospacing="0" w:after="0" w:afterAutospacing="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1" w:name="_Hlk54167917"/>
      <w:r>
        <w:rPr>
          <w:rFonts w:hint="eastAsia" w:ascii="黑体" w:hAnsi="黑体" w:eastAsia="黑体"/>
          <w:snapToGrid w:val="0"/>
          <w:color w:val="auto"/>
          <w:sz w:val="30"/>
          <w:szCs w:val="30"/>
        </w:rPr>
        <w:t>环境保护措施监督检查清单</w:t>
      </w:r>
      <w:bookmarkEnd w:id="1"/>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1745"/>
        <w:gridCol w:w="1616"/>
        <w:gridCol w:w="1759"/>
        <w:gridCol w:w="21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1" w:type="dxa"/>
            <w:tcBorders>
              <w:tl2br w:val="single" w:color="auto" w:sz="4" w:space="0"/>
            </w:tcBorders>
            <w:noWrap w:val="0"/>
            <w:vAlign w:val="top"/>
          </w:tcPr>
          <w:p>
            <w:pPr>
              <w:adjustRightInd w:val="0"/>
              <w:snapToGrid w:val="0"/>
              <w:ind w:firstLine="843" w:firstLineChars="400"/>
              <w:rPr>
                <w:rFonts w:hint="eastAsia" w:ascii="宋体" w:hAnsi="宋体" w:cs="宋体"/>
                <w:b/>
                <w:bCs/>
                <w:color w:val="auto"/>
                <w:szCs w:val="21"/>
              </w:rPr>
            </w:pPr>
            <w:r>
              <w:rPr>
                <w:rFonts w:hint="eastAsia" w:ascii="宋体" w:hAnsi="宋体" w:cs="宋体"/>
                <w:b/>
                <w:bCs/>
                <w:color w:val="auto"/>
                <w:szCs w:val="21"/>
              </w:rPr>
              <w:t>内容</w:t>
            </w:r>
          </w:p>
          <w:p>
            <w:pPr>
              <w:adjustRightInd w:val="0"/>
              <w:snapToGrid w:val="0"/>
              <w:rPr>
                <w:rFonts w:hint="eastAsia" w:ascii="宋体" w:hAnsi="宋体" w:cs="宋体"/>
                <w:b/>
                <w:bCs/>
                <w:color w:val="auto"/>
                <w:szCs w:val="21"/>
              </w:rPr>
            </w:pPr>
            <w:r>
              <w:rPr>
                <w:rFonts w:hint="eastAsia" w:ascii="宋体" w:hAnsi="宋体" w:cs="宋体"/>
                <w:b/>
                <w:bCs/>
                <w:color w:val="auto"/>
                <w:szCs w:val="21"/>
              </w:rPr>
              <w:t>要素</w:t>
            </w:r>
          </w:p>
        </w:tc>
        <w:tc>
          <w:tcPr>
            <w:tcW w:w="1745"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排放口(编号、</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名称)/污染源</w:t>
            </w:r>
          </w:p>
        </w:tc>
        <w:tc>
          <w:tcPr>
            <w:tcW w:w="1616"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污染物项目</w:t>
            </w:r>
          </w:p>
        </w:tc>
        <w:tc>
          <w:tcPr>
            <w:tcW w:w="1759"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环境保护措施</w:t>
            </w:r>
          </w:p>
        </w:tc>
        <w:tc>
          <w:tcPr>
            <w:tcW w:w="2169"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1" w:type="dxa"/>
            <w:vMerge w:val="restart"/>
            <w:noWrap w:val="0"/>
            <w:vAlign w:val="center"/>
          </w:tcPr>
          <w:p>
            <w:pPr>
              <w:adjustRightInd w:val="0"/>
              <w:snapToGrid w:val="0"/>
              <w:jc w:val="center"/>
              <w:rPr>
                <w:color w:val="auto"/>
                <w:sz w:val="21"/>
                <w:szCs w:val="21"/>
              </w:rPr>
            </w:pPr>
            <w:r>
              <w:rPr>
                <w:color w:val="auto"/>
                <w:sz w:val="21"/>
                <w:szCs w:val="21"/>
              </w:rPr>
              <w:t>大气环境</w:t>
            </w:r>
          </w:p>
        </w:tc>
        <w:tc>
          <w:tcPr>
            <w:tcW w:w="1745" w:type="dxa"/>
            <w:noWrap w:val="0"/>
            <w:vAlign w:val="center"/>
          </w:tcPr>
          <w:p>
            <w:pPr>
              <w:adjustRightInd w:val="0"/>
              <w:snapToGrid w:val="0"/>
              <w:jc w:val="center"/>
              <w:rPr>
                <w:color w:val="auto"/>
                <w:kern w:val="0"/>
                <w:sz w:val="21"/>
                <w:szCs w:val="21"/>
              </w:rPr>
            </w:pPr>
            <w:r>
              <w:rPr>
                <w:color w:val="auto"/>
                <w:kern w:val="0"/>
                <w:sz w:val="21"/>
                <w:szCs w:val="21"/>
              </w:rPr>
              <w:t>DA001</w:t>
            </w:r>
          </w:p>
          <w:p>
            <w:pPr>
              <w:adjustRightInd w:val="0"/>
              <w:snapToGrid w:val="0"/>
              <w:jc w:val="center"/>
              <w:rPr>
                <w:rFonts w:hint="eastAsia" w:eastAsia="宋体"/>
                <w:color w:val="auto"/>
                <w:sz w:val="21"/>
                <w:szCs w:val="21"/>
                <w:lang w:eastAsia="zh-CN"/>
              </w:rPr>
            </w:pPr>
            <w:r>
              <w:rPr>
                <w:rFonts w:hint="default" w:ascii="Times New Roman" w:hAnsi="Times New Roman" w:cs="Times New Roman"/>
                <w:color w:val="auto"/>
                <w:sz w:val="21"/>
                <w:szCs w:val="21"/>
              </w:rPr>
              <w:t>造粒、搅拌、拉丝</w:t>
            </w:r>
            <w:r>
              <w:rPr>
                <w:color w:val="auto"/>
                <w:sz w:val="21"/>
                <w:szCs w:val="21"/>
              </w:rPr>
              <w:t>废气排气筒</w:t>
            </w:r>
          </w:p>
        </w:tc>
        <w:tc>
          <w:tcPr>
            <w:tcW w:w="1616" w:type="dxa"/>
            <w:noWrap w:val="0"/>
            <w:vAlign w:val="center"/>
          </w:tcPr>
          <w:p>
            <w:pPr>
              <w:adjustRightInd w:val="0"/>
              <w:snapToGrid w:val="0"/>
              <w:jc w:val="center"/>
              <w:rPr>
                <w:color w:val="auto"/>
                <w:sz w:val="21"/>
                <w:szCs w:val="21"/>
              </w:rPr>
            </w:pPr>
            <w:r>
              <w:rPr>
                <w:rFonts w:hint="eastAsia"/>
                <w:bCs/>
                <w:color w:val="auto"/>
                <w:sz w:val="21"/>
                <w:szCs w:val="21"/>
              </w:rPr>
              <w:t>非甲烷总烃</w:t>
            </w:r>
            <w:r>
              <w:rPr>
                <w:rFonts w:hint="eastAsia"/>
                <w:bCs/>
                <w:color w:val="auto"/>
                <w:sz w:val="21"/>
                <w:szCs w:val="21"/>
                <w:lang w:eastAsia="zh-CN"/>
              </w:rPr>
              <w:t>、</w:t>
            </w:r>
            <w:r>
              <w:rPr>
                <w:rFonts w:hint="eastAsia"/>
                <w:bCs/>
                <w:color w:val="auto"/>
                <w:sz w:val="21"/>
                <w:szCs w:val="21"/>
                <w:lang w:val="en-US" w:eastAsia="zh-CN"/>
              </w:rPr>
              <w:t>颗粒物、氯化氢</w:t>
            </w:r>
          </w:p>
        </w:tc>
        <w:tc>
          <w:tcPr>
            <w:tcW w:w="1759" w:type="dxa"/>
            <w:noWrap w:val="0"/>
            <w:vAlign w:val="center"/>
          </w:tcPr>
          <w:p>
            <w:pPr>
              <w:adjustRightInd w:val="0"/>
              <w:snapToGrid w:val="0"/>
              <w:jc w:val="center"/>
              <w:rPr>
                <w:color w:val="auto"/>
                <w:sz w:val="21"/>
                <w:szCs w:val="21"/>
              </w:rPr>
            </w:pPr>
            <w:r>
              <w:rPr>
                <w:rFonts w:hint="eastAsia"/>
                <w:color w:val="auto"/>
                <w:kern w:val="0"/>
                <w:sz w:val="21"/>
                <w:szCs w:val="21"/>
              </w:rPr>
              <w:t>厂房密闭+集气罩+塑料门帘进行负压收集</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布袋除尘器+水膜+喷淋塔+UV光解+低温等离子+二级活性炭吸附处理设备</w:t>
            </w:r>
            <w:r>
              <w:rPr>
                <w:color w:val="auto"/>
                <w:sz w:val="21"/>
                <w:szCs w:val="21"/>
              </w:rPr>
              <w:t>+15m</w:t>
            </w:r>
            <w:r>
              <w:rPr>
                <w:rFonts w:hint="eastAsia"/>
                <w:color w:val="auto"/>
                <w:sz w:val="21"/>
                <w:szCs w:val="21"/>
                <w:lang w:eastAsia="zh-CN"/>
              </w:rPr>
              <w:t>排气筒</w:t>
            </w:r>
            <w:r>
              <w:rPr>
                <w:color w:val="auto"/>
                <w:sz w:val="21"/>
                <w:szCs w:val="21"/>
              </w:rPr>
              <w:t>排放</w:t>
            </w:r>
          </w:p>
        </w:tc>
        <w:tc>
          <w:tcPr>
            <w:tcW w:w="2169" w:type="dxa"/>
            <w:noWrap w:val="0"/>
            <w:vAlign w:val="center"/>
          </w:tcPr>
          <w:p>
            <w:pPr>
              <w:adjustRightInd w:val="0"/>
              <w:snapToGrid w:val="0"/>
              <w:jc w:val="center"/>
              <w:rPr>
                <w:rFonts w:hint="eastAsia"/>
                <w:color w:val="auto"/>
                <w:sz w:val="21"/>
                <w:szCs w:val="21"/>
              </w:rPr>
            </w:pPr>
            <w:r>
              <w:rPr>
                <w:color w:val="auto"/>
                <w:sz w:val="21"/>
                <w:szCs w:val="21"/>
              </w:rPr>
              <w:t>《合成树脂工业污染物排放标准》（GB31572-2015）</w:t>
            </w:r>
            <w:r>
              <w:rPr>
                <w:rFonts w:hint="eastAsia"/>
                <w:color w:val="auto"/>
                <w:sz w:val="21"/>
                <w:szCs w:val="21"/>
              </w:rPr>
              <w:t>表5.表9</w:t>
            </w:r>
          </w:p>
          <w:p>
            <w:pPr>
              <w:pStyle w:val="10"/>
              <w:rPr>
                <w:color w:val="auto"/>
                <w:sz w:val="21"/>
                <w:szCs w:val="21"/>
              </w:rPr>
            </w:pPr>
            <w:r>
              <w:rPr>
                <w:rFonts w:hint="eastAsia"/>
                <w:color w:val="auto"/>
                <w:sz w:val="21"/>
                <w:szCs w:val="21"/>
              </w:rPr>
              <w:t>《挥发性有机物无组织排放控制标准》（GB37822-2019）附录A.表A1特别排放限值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厂界</w:t>
            </w:r>
          </w:p>
        </w:tc>
        <w:tc>
          <w:tcPr>
            <w:tcW w:w="1616" w:type="dxa"/>
            <w:noWrap w:val="0"/>
            <w:vAlign w:val="center"/>
          </w:tcPr>
          <w:p>
            <w:pPr>
              <w:adjustRightInd w:val="0"/>
              <w:snapToGrid w:val="0"/>
              <w:jc w:val="center"/>
              <w:rPr>
                <w:rFonts w:hint="default"/>
                <w:bCs/>
                <w:color w:val="auto"/>
                <w:sz w:val="21"/>
                <w:szCs w:val="21"/>
                <w:lang w:val="en-US"/>
              </w:rPr>
            </w:pPr>
            <w:r>
              <w:rPr>
                <w:rFonts w:hint="eastAsia"/>
                <w:bCs/>
                <w:color w:val="auto"/>
                <w:sz w:val="21"/>
                <w:szCs w:val="21"/>
                <w:lang w:val="en-US" w:eastAsia="zh-CN"/>
              </w:rPr>
              <w:t>氨、硫化氢、臭气浓度</w:t>
            </w:r>
          </w:p>
        </w:tc>
        <w:tc>
          <w:tcPr>
            <w:tcW w:w="1759" w:type="dxa"/>
            <w:noWrap w:val="0"/>
            <w:vAlign w:val="center"/>
          </w:tcPr>
          <w:p>
            <w:pPr>
              <w:adjustRightInd w:val="0"/>
              <w:snapToGrid w:val="0"/>
              <w:jc w:val="center"/>
              <w:rPr>
                <w:rFonts w:hint="eastAsia" w:eastAsia="宋体"/>
                <w:color w:val="auto"/>
                <w:kern w:val="0"/>
                <w:sz w:val="21"/>
                <w:szCs w:val="21"/>
                <w:lang w:val="en-US" w:eastAsia="zh-CN"/>
              </w:rPr>
            </w:pPr>
            <w:r>
              <w:rPr>
                <w:rFonts w:hint="eastAsia"/>
                <w:color w:val="auto"/>
                <w:kern w:val="0"/>
                <w:sz w:val="21"/>
                <w:szCs w:val="21"/>
              </w:rPr>
              <w:t>污水处理站ABR厌氧池、二级接触氧化池等易产生臭气</w:t>
            </w:r>
            <w:r>
              <w:rPr>
                <w:rFonts w:hint="eastAsia"/>
                <w:color w:val="auto"/>
                <w:kern w:val="0"/>
                <w:sz w:val="21"/>
                <w:szCs w:val="21"/>
                <w:lang w:val="en-US" w:eastAsia="zh-CN"/>
              </w:rPr>
              <w:t>位置采用钢板或水泥板对ABR厌氧池、二级接触氧化池等易产生臭气处理池进行密封，确保臭气不外溢</w:t>
            </w:r>
          </w:p>
        </w:tc>
        <w:tc>
          <w:tcPr>
            <w:tcW w:w="2169" w:type="dxa"/>
            <w:noWrap w:val="0"/>
            <w:vAlign w:val="center"/>
          </w:tcPr>
          <w:p>
            <w:pPr>
              <w:pStyle w:val="10"/>
              <w:rPr>
                <w:rFonts w:hint="eastAsia"/>
                <w:color w:val="auto"/>
                <w:sz w:val="21"/>
                <w:szCs w:val="21"/>
              </w:rPr>
            </w:pPr>
            <w:r>
              <w:rPr>
                <w:rFonts w:hint="eastAsia"/>
                <w:color w:val="auto"/>
                <w:sz w:val="21"/>
                <w:szCs w:val="21"/>
              </w:rPr>
              <w:t>《恶臭污染物排放标准》（GB14554-93）中表1中二级标准新扩改建排放限值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71" w:type="dxa"/>
            <w:noWrap w:val="0"/>
            <w:vAlign w:val="center"/>
          </w:tcPr>
          <w:p>
            <w:pPr>
              <w:adjustRightInd w:val="0"/>
              <w:snapToGrid w:val="0"/>
              <w:jc w:val="center"/>
              <w:rPr>
                <w:color w:val="auto"/>
                <w:sz w:val="21"/>
                <w:szCs w:val="21"/>
              </w:rPr>
            </w:pPr>
            <w:r>
              <w:rPr>
                <w:color w:val="auto"/>
                <w:sz w:val="21"/>
                <w:szCs w:val="21"/>
              </w:rPr>
              <w:t>地表水环境</w:t>
            </w:r>
          </w:p>
        </w:tc>
        <w:tc>
          <w:tcPr>
            <w:tcW w:w="1745" w:type="dxa"/>
            <w:noWrap w:val="0"/>
            <w:vAlign w:val="center"/>
          </w:tcPr>
          <w:p>
            <w:pPr>
              <w:adjustRightInd w:val="0"/>
              <w:snapToGrid w:val="0"/>
              <w:jc w:val="center"/>
              <w:rPr>
                <w:b w:val="0"/>
                <w:bCs w:val="0"/>
                <w:color w:val="auto"/>
                <w:sz w:val="21"/>
                <w:szCs w:val="21"/>
              </w:rPr>
            </w:pPr>
            <w:r>
              <w:rPr>
                <w:rFonts w:hint="eastAsia"/>
                <w:b w:val="0"/>
                <w:bCs w:val="0"/>
                <w:color w:val="auto"/>
                <w:sz w:val="21"/>
                <w:szCs w:val="21"/>
                <w:lang w:val="en-US" w:eastAsia="zh-CN"/>
              </w:rPr>
              <w:t>T</w:t>
            </w:r>
            <w:r>
              <w:rPr>
                <w:b w:val="0"/>
                <w:bCs w:val="0"/>
                <w:color w:val="auto"/>
                <w:sz w:val="21"/>
                <w:szCs w:val="21"/>
              </w:rPr>
              <w:t>W001</w:t>
            </w:r>
          </w:p>
          <w:p>
            <w:pPr>
              <w:adjustRightInd w:val="0"/>
              <w:snapToGrid w:val="0"/>
              <w:jc w:val="center"/>
              <w:rPr>
                <w:color w:val="auto"/>
                <w:sz w:val="21"/>
                <w:szCs w:val="21"/>
              </w:rPr>
            </w:pPr>
            <w:r>
              <w:rPr>
                <w:color w:val="auto"/>
                <w:sz w:val="21"/>
                <w:szCs w:val="21"/>
              </w:rPr>
              <w:t>生</w:t>
            </w:r>
            <w:r>
              <w:rPr>
                <w:rFonts w:hint="eastAsia"/>
                <w:color w:val="auto"/>
                <w:sz w:val="21"/>
                <w:szCs w:val="21"/>
                <w:lang w:eastAsia="zh-CN"/>
              </w:rPr>
              <w:t>活</w:t>
            </w:r>
            <w:r>
              <w:rPr>
                <w:color w:val="auto"/>
                <w:sz w:val="21"/>
                <w:szCs w:val="21"/>
              </w:rPr>
              <w:t>废水</w:t>
            </w:r>
          </w:p>
        </w:tc>
        <w:tc>
          <w:tcPr>
            <w:tcW w:w="1616" w:type="dxa"/>
            <w:noWrap w:val="0"/>
            <w:vAlign w:val="top"/>
          </w:tcPr>
          <w:p>
            <w:pPr>
              <w:pStyle w:val="49"/>
              <w:adjustRightInd w:val="0"/>
              <w:snapToGrid w:val="0"/>
              <w:rPr>
                <w:color w:val="auto"/>
                <w:kern w:val="0"/>
                <w:sz w:val="21"/>
                <w:szCs w:val="21"/>
              </w:rPr>
            </w:pPr>
            <w:r>
              <w:rPr>
                <w:color w:val="auto"/>
                <w:sz w:val="21"/>
                <w:szCs w:val="21"/>
              </w:rPr>
              <w:t>pH、</w:t>
            </w:r>
            <w:r>
              <w:rPr>
                <w:color w:val="auto"/>
                <w:spacing w:val="-1"/>
                <w:position w:val="2"/>
                <w:sz w:val="21"/>
                <w:szCs w:val="21"/>
              </w:rPr>
              <w:t>COD</w:t>
            </w:r>
            <w:r>
              <w:rPr>
                <w:color w:val="auto"/>
                <w:spacing w:val="-1"/>
                <w:sz w:val="21"/>
                <w:szCs w:val="21"/>
                <w:vertAlign w:val="subscript"/>
              </w:rPr>
              <w:t>Cr、</w:t>
            </w:r>
            <w:r>
              <w:rPr>
                <w:color w:val="auto"/>
                <w:spacing w:val="-1"/>
                <w:position w:val="2"/>
                <w:sz w:val="21"/>
                <w:szCs w:val="21"/>
              </w:rPr>
              <w:t>BOD</w:t>
            </w:r>
            <w:r>
              <w:rPr>
                <w:color w:val="auto"/>
                <w:spacing w:val="-1"/>
                <w:sz w:val="21"/>
                <w:szCs w:val="21"/>
                <w:vertAlign w:val="subscript"/>
              </w:rPr>
              <w:t>5、</w:t>
            </w:r>
            <w:r>
              <w:rPr>
                <w:color w:val="auto"/>
                <w:spacing w:val="-2"/>
                <w:sz w:val="21"/>
                <w:szCs w:val="21"/>
              </w:rPr>
              <w:t>SS、</w:t>
            </w:r>
            <w:r>
              <w:rPr>
                <w:color w:val="auto"/>
                <w:sz w:val="21"/>
                <w:szCs w:val="21"/>
              </w:rPr>
              <w:t>氨氮</w:t>
            </w:r>
          </w:p>
          <w:p>
            <w:pPr>
              <w:pStyle w:val="49"/>
              <w:adjustRightInd w:val="0"/>
              <w:snapToGrid w:val="0"/>
              <w:rPr>
                <w:b/>
                <w:bCs/>
                <w:color w:val="auto"/>
                <w:kern w:val="0"/>
                <w:sz w:val="21"/>
                <w:szCs w:val="21"/>
              </w:rPr>
            </w:pPr>
            <w:r>
              <w:rPr>
                <w:color w:val="auto"/>
                <w:sz w:val="21"/>
                <w:szCs w:val="21"/>
              </w:rPr>
              <w:t>TP、动植物油、石油类</w:t>
            </w:r>
          </w:p>
        </w:tc>
        <w:tc>
          <w:tcPr>
            <w:tcW w:w="1759" w:type="dxa"/>
            <w:noWrap w:val="0"/>
            <w:vAlign w:val="center"/>
          </w:tcPr>
          <w:p>
            <w:pPr>
              <w:pStyle w:val="19"/>
              <w:spacing w:after="0" w:line="240" w:lineRule="auto"/>
              <w:ind w:left="0" w:leftChars="0"/>
              <w:jc w:val="center"/>
              <w:rPr>
                <w:rFonts w:hint="eastAsia" w:ascii="Times New Roman" w:hAnsi="Times New Roman" w:eastAsia="宋体"/>
                <w:color w:val="auto"/>
                <w:sz w:val="21"/>
                <w:szCs w:val="21"/>
                <w:lang w:eastAsia="zh-CN"/>
              </w:rPr>
            </w:pPr>
            <w:r>
              <w:rPr>
                <w:rFonts w:hint="eastAsia"/>
                <w:color w:val="auto"/>
                <w:sz w:val="21"/>
                <w:szCs w:val="21"/>
                <w:lang w:eastAsia="zh-CN"/>
              </w:rPr>
              <w:t>预处理池</w:t>
            </w:r>
          </w:p>
        </w:tc>
        <w:tc>
          <w:tcPr>
            <w:tcW w:w="2169" w:type="dxa"/>
            <w:noWrap w:val="0"/>
            <w:vAlign w:val="center"/>
          </w:tcPr>
          <w:p>
            <w:pPr>
              <w:adjustRightInd w:val="0"/>
              <w:snapToGrid w:val="0"/>
              <w:jc w:val="center"/>
              <w:rPr>
                <w:color w:val="auto"/>
                <w:sz w:val="21"/>
                <w:szCs w:val="21"/>
              </w:rPr>
            </w:pPr>
            <w:r>
              <w:rPr>
                <w:color w:val="auto"/>
                <w:sz w:val="21"/>
                <w:szCs w:val="21"/>
              </w:rPr>
              <w:t>《污水综合排放标准》（GB 8978-1996）中三级标准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1" w:type="dxa"/>
            <w:noWrap w:val="0"/>
            <w:vAlign w:val="center"/>
          </w:tcPr>
          <w:p>
            <w:pPr>
              <w:adjustRightInd w:val="0"/>
              <w:snapToGrid w:val="0"/>
              <w:jc w:val="center"/>
              <w:rPr>
                <w:color w:val="auto"/>
                <w:sz w:val="21"/>
                <w:szCs w:val="21"/>
              </w:rPr>
            </w:pPr>
            <w:r>
              <w:rPr>
                <w:color w:val="auto"/>
                <w:sz w:val="21"/>
                <w:szCs w:val="21"/>
              </w:rPr>
              <w:t>声环境</w:t>
            </w:r>
          </w:p>
        </w:tc>
        <w:tc>
          <w:tcPr>
            <w:tcW w:w="1745" w:type="dxa"/>
            <w:noWrap w:val="0"/>
            <w:vAlign w:val="center"/>
          </w:tcPr>
          <w:p>
            <w:pPr>
              <w:spacing w:line="240" w:lineRule="auto"/>
              <w:jc w:val="center"/>
              <w:rPr>
                <w:color w:val="auto"/>
                <w:sz w:val="21"/>
                <w:szCs w:val="21"/>
              </w:rPr>
            </w:pPr>
            <w:r>
              <w:rPr>
                <w:rFonts w:hint="eastAsia"/>
                <w:bCs/>
                <w:color w:val="auto"/>
                <w:sz w:val="21"/>
                <w:szCs w:val="21"/>
                <w:lang w:val="en-US" w:eastAsia="zh-CN"/>
              </w:rPr>
              <w:t>厂房</w:t>
            </w:r>
          </w:p>
        </w:tc>
        <w:tc>
          <w:tcPr>
            <w:tcW w:w="1616" w:type="dxa"/>
            <w:noWrap w:val="0"/>
            <w:vAlign w:val="center"/>
          </w:tcPr>
          <w:p>
            <w:pPr>
              <w:adjustRightInd w:val="0"/>
              <w:snapToGrid w:val="0"/>
              <w:jc w:val="center"/>
              <w:rPr>
                <w:color w:val="auto"/>
                <w:sz w:val="21"/>
                <w:szCs w:val="21"/>
              </w:rPr>
            </w:pPr>
            <w:r>
              <w:rPr>
                <w:color w:val="auto"/>
                <w:sz w:val="21"/>
                <w:szCs w:val="21"/>
              </w:rPr>
              <w:t>噪声</w:t>
            </w:r>
          </w:p>
        </w:tc>
        <w:tc>
          <w:tcPr>
            <w:tcW w:w="1759" w:type="dxa"/>
            <w:noWrap w:val="0"/>
            <w:vAlign w:val="center"/>
          </w:tcPr>
          <w:p>
            <w:pPr>
              <w:adjustRightInd w:val="0"/>
              <w:snapToGrid w:val="0"/>
              <w:jc w:val="center"/>
              <w:rPr>
                <w:color w:val="auto"/>
                <w:sz w:val="21"/>
                <w:szCs w:val="21"/>
              </w:rPr>
            </w:pPr>
            <w:r>
              <w:rPr>
                <w:rFonts w:hint="eastAsia" w:ascii="Times New Roman" w:hAnsi="Times New Roman"/>
                <w:bCs/>
                <w:color w:val="auto"/>
                <w:sz w:val="21"/>
                <w:szCs w:val="21"/>
              </w:rPr>
              <w:t>采用低噪设备、基础减振、合理布局、墙体隔音、厂房进行隔声加强措施，并加装隔声窗</w:t>
            </w:r>
          </w:p>
        </w:tc>
        <w:tc>
          <w:tcPr>
            <w:tcW w:w="2169" w:type="dxa"/>
            <w:noWrap w:val="0"/>
            <w:vAlign w:val="center"/>
          </w:tcPr>
          <w:p>
            <w:pPr>
              <w:adjustRightInd w:val="0"/>
              <w:snapToGrid w:val="0"/>
              <w:jc w:val="center"/>
              <w:rPr>
                <w:color w:val="auto"/>
                <w:sz w:val="21"/>
                <w:szCs w:val="21"/>
              </w:rPr>
            </w:pPr>
            <w:r>
              <w:rPr>
                <w:color w:val="auto"/>
                <w:sz w:val="21"/>
                <w:szCs w:val="21"/>
              </w:rPr>
              <w:t>边界噪声排放执行《工业企业厂界环境噪声排放标准》（GB12348-2008）中3类声环境功能区标准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1" w:type="dxa"/>
            <w:noWrap w:val="0"/>
            <w:vAlign w:val="center"/>
          </w:tcPr>
          <w:p>
            <w:pPr>
              <w:adjustRightInd w:val="0"/>
              <w:snapToGrid w:val="0"/>
              <w:jc w:val="center"/>
              <w:rPr>
                <w:color w:val="auto"/>
                <w:sz w:val="21"/>
                <w:szCs w:val="21"/>
              </w:rPr>
            </w:pPr>
            <w:r>
              <w:rPr>
                <w:color w:val="auto"/>
                <w:sz w:val="21"/>
                <w:szCs w:val="21"/>
              </w:rPr>
              <w:t>电磁辐射</w:t>
            </w:r>
          </w:p>
        </w:tc>
        <w:tc>
          <w:tcPr>
            <w:tcW w:w="1745" w:type="dxa"/>
            <w:noWrap w:val="0"/>
            <w:vAlign w:val="center"/>
          </w:tcPr>
          <w:p>
            <w:pPr>
              <w:adjustRightInd w:val="0"/>
              <w:snapToGrid w:val="0"/>
              <w:jc w:val="center"/>
              <w:rPr>
                <w:color w:val="auto"/>
                <w:sz w:val="21"/>
                <w:szCs w:val="21"/>
              </w:rPr>
            </w:pPr>
            <w:r>
              <w:rPr>
                <w:color w:val="auto"/>
                <w:sz w:val="21"/>
                <w:szCs w:val="21"/>
              </w:rPr>
              <w:t>/</w:t>
            </w:r>
          </w:p>
        </w:tc>
        <w:tc>
          <w:tcPr>
            <w:tcW w:w="1616" w:type="dxa"/>
            <w:noWrap w:val="0"/>
            <w:vAlign w:val="center"/>
          </w:tcPr>
          <w:p>
            <w:pPr>
              <w:adjustRightInd w:val="0"/>
              <w:snapToGrid w:val="0"/>
              <w:jc w:val="center"/>
              <w:rPr>
                <w:color w:val="auto"/>
                <w:sz w:val="21"/>
                <w:szCs w:val="21"/>
              </w:rPr>
            </w:pPr>
            <w:r>
              <w:rPr>
                <w:color w:val="auto"/>
                <w:sz w:val="21"/>
                <w:szCs w:val="21"/>
              </w:rPr>
              <w:t>/</w:t>
            </w:r>
          </w:p>
        </w:tc>
        <w:tc>
          <w:tcPr>
            <w:tcW w:w="1759" w:type="dxa"/>
            <w:noWrap w:val="0"/>
            <w:vAlign w:val="center"/>
          </w:tcPr>
          <w:p>
            <w:pPr>
              <w:adjustRightInd w:val="0"/>
              <w:snapToGrid w:val="0"/>
              <w:jc w:val="center"/>
              <w:rPr>
                <w:color w:val="auto"/>
                <w:sz w:val="21"/>
                <w:szCs w:val="21"/>
              </w:rPr>
            </w:pPr>
            <w:r>
              <w:rPr>
                <w:color w:val="auto"/>
                <w:sz w:val="21"/>
                <w:szCs w:val="21"/>
              </w:rPr>
              <w:t>/</w:t>
            </w:r>
          </w:p>
        </w:tc>
        <w:tc>
          <w:tcPr>
            <w:tcW w:w="2169" w:type="dxa"/>
            <w:noWrap w:val="0"/>
            <w:vAlign w:val="center"/>
          </w:tcPr>
          <w:p>
            <w:pPr>
              <w:adjustRightInd w:val="0"/>
              <w:snapToGrid w:val="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restart"/>
            <w:noWrap w:val="0"/>
            <w:vAlign w:val="center"/>
          </w:tcPr>
          <w:p>
            <w:pPr>
              <w:adjustRightInd w:val="0"/>
              <w:snapToGrid w:val="0"/>
              <w:jc w:val="center"/>
              <w:rPr>
                <w:color w:val="auto"/>
                <w:sz w:val="21"/>
                <w:szCs w:val="21"/>
              </w:rPr>
            </w:pPr>
            <w:r>
              <w:rPr>
                <w:color w:val="auto"/>
                <w:sz w:val="21"/>
                <w:szCs w:val="21"/>
              </w:rPr>
              <w:t>固体废物</w:t>
            </w:r>
          </w:p>
        </w:tc>
        <w:tc>
          <w:tcPr>
            <w:tcW w:w="1745" w:type="dxa"/>
            <w:vMerge w:val="restart"/>
            <w:noWrap w:val="0"/>
            <w:vAlign w:val="center"/>
          </w:tcPr>
          <w:p>
            <w:pPr>
              <w:jc w:val="center"/>
              <w:rPr>
                <w:color w:val="auto"/>
                <w:sz w:val="21"/>
                <w:szCs w:val="21"/>
              </w:rPr>
            </w:pPr>
            <w:r>
              <w:rPr>
                <w:color w:val="auto"/>
                <w:sz w:val="21"/>
                <w:szCs w:val="21"/>
              </w:rPr>
              <w:t>一般固体废物</w:t>
            </w:r>
          </w:p>
        </w:tc>
        <w:tc>
          <w:tcPr>
            <w:tcW w:w="1616" w:type="dxa"/>
            <w:noWrap w:val="0"/>
            <w:vAlign w:val="center"/>
          </w:tcPr>
          <w:p>
            <w:pPr>
              <w:pStyle w:val="28"/>
              <w:spacing w:after="0" w:line="240" w:lineRule="auto"/>
              <w:ind w:right="113" w:rightChars="0" w:firstLine="0" w:firstLineChars="0"/>
              <w:jc w:val="center"/>
              <w:rPr>
                <w:color w:val="auto"/>
                <w:sz w:val="21"/>
                <w:szCs w:val="21"/>
              </w:rPr>
            </w:pPr>
            <w:r>
              <w:rPr>
                <w:rFonts w:hint="eastAsia" w:ascii="Times New Roman" w:hAnsi="Times New Roman"/>
                <w:color w:val="auto"/>
                <w:sz w:val="21"/>
                <w:szCs w:val="21"/>
              </w:rPr>
              <w:t>清洗</w:t>
            </w:r>
            <w:r>
              <w:rPr>
                <w:rFonts w:hint="eastAsia" w:ascii="Times New Roman" w:hAnsi="Times New Roman"/>
                <w:color w:val="auto"/>
                <w:sz w:val="21"/>
                <w:szCs w:val="21"/>
                <w:lang w:val="en-US" w:eastAsia="zh-CN"/>
              </w:rPr>
              <w:t>沉淀池</w:t>
            </w:r>
            <w:r>
              <w:rPr>
                <w:rFonts w:hint="eastAsia" w:ascii="Times New Roman" w:hAnsi="Times New Roman"/>
                <w:color w:val="auto"/>
                <w:sz w:val="21"/>
                <w:szCs w:val="21"/>
              </w:rPr>
              <w:t>产生</w:t>
            </w:r>
            <w:r>
              <w:rPr>
                <w:rFonts w:hint="eastAsia" w:ascii="Times New Roman" w:hAnsi="Times New Roman"/>
                <w:color w:val="auto"/>
                <w:sz w:val="21"/>
                <w:szCs w:val="21"/>
                <w:lang w:val="en-US" w:eastAsia="zh-CN"/>
              </w:rPr>
              <w:t>污泥</w:t>
            </w:r>
          </w:p>
        </w:tc>
        <w:tc>
          <w:tcPr>
            <w:tcW w:w="1759" w:type="dxa"/>
            <w:noWrap w:val="0"/>
            <w:vAlign w:val="center"/>
          </w:tcPr>
          <w:p>
            <w:pPr>
              <w:pStyle w:val="2"/>
              <w:adjustRightInd/>
              <w:spacing w:before="0" w:line="240" w:lineRule="auto"/>
              <w:ind w:left="0" w:leftChars="0" w:right="0" w:rightChars="0" w:firstLine="0" w:firstLineChars="0"/>
              <w:jc w:val="center"/>
              <w:textAlignment w:val="auto"/>
              <w:rPr>
                <w:color w:val="auto"/>
                <w:sz w:val="21"/>
                <w:szCs w:val="21"/>
              </w:rPr>
            </w:pPr>
            <w:r>
              <w:rPr>
                <w:rFonts w:hint="eastAsia" w:ascii="Times New Roman" w:hAnsi="Times New Roman" w:eastAsia="宋体"/>
                <w:bCs/>
                <w:color w:val="auto"/>
                <w:sz w:val="21"/>
                <w:szCs w:val="21"/>
              </w:rPr>
              <w:t>暂存于一般固废暂存区定期交环卫部门统一清运</w:t>
            </w:r>
          </w:p>
        </w:tc>
        <w:tc>
          <w:tcPr>
            <w:tcW w:w="2169" w:type="dxa"/>
            <w:vMerge w:val="restart"/>
            <w:noWrap w:val="0"/>
            <w:vAlign w:val="center"/>
          </w:tcPr>
          <w:p>
            <w:pPr>
              <w:adjustRightInd w:val="0"/>
              <w:snapToGrid w:val="0"/>
              <w:jc w:val="left"/>
              <w:rPr>
                <w:color w:val="auto"/>
                <w:sz w:val="21"/>
                <w:szCs w:val="21"/>
              </w:rPr>
            </w:pPr>
            <w:r>
              <w:rPr>
                <w:rFonts w:hint="eastAsia"/>
                <w:color w:val="auto"/>
                <w:sz w:val="21"/>
                <w:szCs w:val="21"/>
                <w:lang w:eastAsia="zh-CN"/>
              </w:rPr>
              <w:t>《</w:t>
            </w:r>
            <w:r>
              <w:rPr>
                <w:rFonts w:hint="eastAsia"/>
                <w:color w:val="auto"/>
                <w:sz w:val="21"/>
                <w:szCs w:val="21"/>
              </w:rPr>
              <w:t>一般工业固体废物贮存和填埋污染控制标准</w:t>
            </w:r>
            <w:r>
              <w:rPr>
                <w:rFonts w:hint="eastAsia"/>
                <w:color w:val="auto"/>
                <w:sz w:val="21"/>
                <w:szCs w:val="21"/>
                <w:lang w:eastAsia="zh-CN"/>
              </w:rPr>
              <w:t>》</w:t>
            </w:r>
            <w:r>
              <w:rPr>
                <w:rFonts w:hint="eastAsia"/>
                <w:color w:val="auto"/>
                <w:sz w:val="21"/>
                <w:szCs w:val="21"/>
              </w:rPr>
              <w:t xml:space="preserve"> </w:t>
            </w:r>
            <w:r>
              <w:rPr>
                <w:rFonts w:hint="eastAsia"/>
                <w:color w:val="auto"/>
                <w:sz w:val="21"/>
                <w:szCs w:val="21"/>
                <w:lang w:eastAsia="zh-CN"/>
              </w:rPr>
              <w:t>（</w:t>
            </w:r>
            <w:r>
              <w:rPr>
                <w:rFonts w:hint="eastAsia"/>
                <w:color w:val="auto"/>
                <w:sz w:val="21"/>
                <w:szCs w:val="21"/>
              </w:rPr>
              <w:t>GB 18599-2020</w:t>
            </w:r>
            <w:r>
              <w:rPr>
                <w:rFonts w:hint="eastAsia"/>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rFonts w:hint="eastAsia"/>
                <w:color w:val="auto"/>
                <w:sz w:val="21"/>
                <w:szCs w:val="21"/>
                <w:lang w:eastAsia="zh-CN"/>
              </w:rPr>
            </w:pPr>
            <w:r>
              <w:rPr>
                <w:rFonts w:hint="eastAsia" w:ascii="Times New Roman" w:hAnsi="Times New Roman"/>
                <w:color w:val="auto"/>
                <w:sz w:val="21"/>
                <w:szCs w:val="21"/>
              </w:rPr>
              <w:t>废包装材料</w:t>
            </w:r>
          </w:p>
        </w:tc>
        <w:tc>
          <w:tcPr>
            <w:tcW w:w="1759"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rPr>
            </w:pPr>
            <w:r>
              <w:rPr>
                <w:rFonts w:hint="eastAsia" w:ascii="Times New Roman" w:hAnsi="Times New Roman" w:eastAsia="宋体"/>
                <w:bCs/>
                <w:color w:val="auto"/>
                <w:sz w:val="21"/>
                <w:szCs w:val="21"/>
              </w:rPr>
              <w:t>属于一般工业固体废物，外售废品回收站</w:t>
            </w:r>
          </w:p>
        </w:tc>
        <w:tc>
          <w:tcPr>
            <w:tcW w:w="2169" w:type="dxa"/>
            <w:vMerge w:val="continue"/>
            <w:noWrap w:val="0"/>
            <w:vAlign w:val="center"/>
          </w:tcPr>
          <w:p>
            <w:pPr>
              <w:adjustRightInd w:val="0"/>
              <w:snapToGrid w:val="0"/>
              <w:jc w:val="left"/>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rFonts w:hint="eastAsia"/>
                <w:color w:val="auto"/>
                <w:sz w:val="21"/>
                <w:szCs w:val="21"/>
                <w:lang w:eastAsia="zh-CN"/>
              </w:rPr>
            </w:pPr>
            <w:r>
              <w:rPr>
                <w:rFonts w:hint="eastAsia" w:ascii="Times New Roman" w:hAnsi="Times New Roman"/>
                <w:color w:val="auto"/>
                <w:sz w:val="21"/>
                <w:szCs w:val="21"/>
              </w:rPr>
              <w:t>次品丝</w:t>
            </w:r>
          </w:p>
        </w:tc>
        <w:tc>
          <w:tcPr>
            <w:tcW w:w="1759"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rPr>
            </w:pPr>
            <w:r>
              <w:rPr>
                <w:rFonts w:hint="eastAsia" w:ascii="Times New Roman" w:hAnsi="Times New Roman" w:eastAsia="宋体"/>
                <w:bCs/>
                <w:color w:val="auto"/>
                <w:sz w:val="21"/>
                <w:szCs w:val="21"/>
              </w:rPr>
              <w:t>收集后返回现有再生塑料颗粒生产线再利用</w:t>
            </w:r>
          </w:p>
        </w:tc>
        <w:tc>
          <w:tcPr>
            <w:tcW w:w="2169" w:type="dxa"/>
            <w:vMerge w:val="continue"/>
            <w:noWrap w:val="0"/>
            <w:vAlign w:val="center"/>
          </w:tcPr>
          <w:p>
            <w:pPr>
              <w:adjustRightInd w:val="0"/>
              <w:snapToGrid w:val="0"/>
              <w:jc w:val="left"/>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rFonts w:hint="eastAsia"/>
                <w:color w:val="auto"/>
                <w:sz w:val="21"/>
                <w:szCs w:val="21"/>
                <w:lang w:eastAsia="zh-CN"/>
              </w:rPr>
            </w:pPr>
            <w:r>
              <w:rPr>
                <w:rFonts w:ascii="Times New Roman" w:hAnsi="Times New Roman" w:eastAsia="宋体"/>
                <w:bCs/>
                <w:color w:val="auto"/>
                <w:sz w:val="21"/>
                <w:szCs w:val="21"/>
                <w:highlight w:val="none"/>
              </w:rPr>
              <w:t>生活垃圾</w:t>
            </w:r>
          </w:p>
        </w:tc>
        <w:tc>
          <w:tcPr>
            <w:tcW w:w="1759"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rPr>
            </w:pPr>
            <w:r>
              <w:rPr>
                <w:rFonts w:ascii="Times New Roman" w:hAnsi="Times New Roman" w:eastAsia="宋体"/>
                <w:bCs/>
                <w:color w:val="auto"/>
                <w:sz w:val="21"/>
                <w:szCs w:val="21"/>
              </w:rPr>
              <w:t>垃圾桶收集，交环卫部门清运</w:t>
            </w:r>
          </w:p>
        </w:tc>
        <w:tc>
          <w:tcPr>
            <w:tcW w:w="2169" w:type="dxa"/>
            <w:vMerge w:val="continue"/>
            <w:noWrap w:val="0"/>
            <w:vAlign w:val="center"/>
          </w:tcPr>
          <w:p>
            <w:pPr>
              <w:adjustRightInd w:val="0"/>
              <w:snapToGrid w:val="0"/>
              <w:jc w:val="left"/>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rFonts w:hint="eastAsia"/>
                <w:color w:val="auto"/>
                <w:sz w:val="21"/>
                <w:szCs w:val="21"/>
                <w:lang w:eastAsia="zh-CN"/>
              </w:rPr>
            </w:pPr>
            <w:r>
              <w:rPr>
                <w:rFonts w:ascii="Times New Roman" w:hAnsi="Times New Roman" w:eastAsia="宋体"/>
                <w:bCs/>
                <w:color w:val="auto"/>
                <w:sz w:val="21"/>
                <w:szCs w:val="21"/>
              </w:rPr>
              <w:t>废过滤棉</w:t>
            </w:r>
          </w:p>
        </w:tc>
        <w:tc>
          <w:tcPr>
            <w:tcW w:w="1759"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rPr>
            </w:pPr>
            <w:r>
              <w:rPr>
                <w:rFonts w:hint="eastAsia" w:ascii="Times New Roman" w:hAnsi="Times New Roman" w:eastAsia="宋体"/>
                <w:bCs/>
                <w:color w:val="auto"/>
                <w:sz w:val="21"/>
                <w:szCs w:val="21"/>
                <w:lang w:val="en-US" w:eastAsia="zh-CN"/>
              </w:rPr>
              <w:t>由</w:t>
            </w:r>
            <w:r>
              <w:rPr>
                <w:rFonts w:ascii="Times New Roman" w:hAnsi="Times New Roman" w:eastAsia="宋体"/>
                <w:bCs/>
                <w:color w:val="auto"/>
                <w:sz w:val="21"/>
                <w:szCs w:val="21"/>
              </w:rPr>
              <w:t>厂家回收</w:t>
            </w:r>
            <w:r>
              <w:rPr>
                <w:rFonts w:hint="eastAsia" w:ascii="Times New Roman" w:hAnsi="Times New Roman" w:eastAsia="宋体"/>
                <w:bCs/>
                <w:color w:val="auto"/>
                <w:sz w:val="21"/>
                <w:szCs w:val="21"/>
                <w:lang w:val="en-US" w:eastAsia="zh-CN"/>
              </w:rPr>
              <w:t>处置</w:t>
            </w:r>
          </w:p>
        </w:tc>
        <w:tc>
          <w:tcPr>
            <w:tcW w:w="2169" w:type="dxa"/>
            <w:vMerge w:val="continue"/>
            <w:noWrap w:val="0"/>
            <w:vAlign w:val="center"/>
          </w:tcPr>
          <w:p>
            <w:pPr>
              <w:adjustRightInd w:val="0"/>
              <w:snapToGrid w:val="0"/>
              <w:jc w:val="left"/>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rFonts w:hint="eastAsia"/>
                <w:color w:val="auto"/>
                <w:sz w:val="21"/>
                <w:szCs w:val="21"/>
                <w:lang w:eastAsia="zh-CN"/>
              </w:rPr>
            </w:pPr>
            <w:r>
              <w:rPr>
                <w:rFonts w:hint="eastAsia" w:ascii="Times New Roman" w:hAnsi="Times New Roman"/>
                <w:color w:val="auto"/>
                <w:sz w:val="21"/>
                <w:szCs w:val="21"/>
                <w:highlight w:val="none"/>
              </w:rPr>
              <w:t>除尘灰</w:t>
            </w:r>
          </w:p>
        </w:tc>
        <w:tc>
          <w:tcPr>
            <w:tcW w:w="1759"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rPr>
            </w:pPr>
            <w:r>
              <w:rPr>
                <w:rFonts w:hint="eastAsia" w:ascii="Times New Roman" w:hAnsi="Times New Roman" w:eastAsia="宋体"/>
                <w:bCs/>
                <w:color w:val="auto"/>
                <w:sz w:val="21"/>
                <w:szCs w:val="21"/>
              </w:rPr>
              <w:t>收集后交由环卫部门统一处理</w:t>
            </w:r>
          </w:p>
        </w:tc>
        <w:tc>
          <w:tcPr>
            <w:tcW w:w="2169" w:type="dxa"/>
            <w:vMerge w:val="continue"/>
            <w:noWrap w:val="0"/>
            <w:vAlign w:val="center"/>
          </w:tcPr>
          <w:p>
            <w:pPr>
              <w:adjustRightInd w:val="0"/>
              <w:snapToGrid w:val="0"/>
              <w:jc w:val="left"/>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rFonts w:hint="eastAsia"/>
                <w:color w:val="auto"/>
                <w:sz w:val="21"/>
                <w:szCs w:val="21"/>
                <w:lang w:eastAsia="zh-CN"/>
              </w:rPr>
            </w:pPr>
            <w:r>
              <w:rPr>
                <w:rFonts w:hint="eastAsia" w:ascii="Times New Roman" w:hAnsi="Times New Roman"/>
                <w:color w:val="auto"/>
                <w:sz w:val="21"/>
                <w:szCs w:val="21"/>
                <w:lang w:val="en-US" w:eastAsia="zh-CN"/>
              </w:rPr>
              <w:t>污水处理污泥</w:t>
            </w:r>
          </w:p>
        </w:tc>
        <w:tc>
          <w:tcPr>
            <w:tcW w:w="1759" w:type="dxa"/>
            <w:vMerge w:val="restart"/>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rPr>
            </w:pPr>
            <w:r>
              <w:rPr>
                <w:rFonts w:hint="eastAsia" w:ascii="Times New Roman" w:hAnsi="Times New Roman" w:eastAsia="宋体"/>
                <w:bCs/>
                <w:color w:val="auto"/>
                <w:sz w:val="21"/>
                <w:szCs w:val="21"/>
                <w:lang w:val="en-US" w:eastAsia="zh-CN"/>
              </w:rPr>
              <w:t>定期打捞后</w:t>
            </w:r>
            <w:r>
              <w:rPr>
                <w:rFonts w:hint="eastAsia" w:ascii="Times New Roman" w:hAnsi="Times New Roman" w:eastAsia="宋体"/>
                <w:bCs/>
                <w:color w:val="auto"/>
                <w:sz w:val="21"/>
                <w:szCs w:val="21"/>
              </w:rPr>
              <w:t>交由</w:t>
            </w:r>
            <w:r>
              <w:rPr>
                <w:rFonts w:hint="eastAsia" w:ascii="Times New Roman" w:hAnsi="Times New Roman" w:eastAsia="宋体"/>
                <w:bCs/>
                <w:color w:val="auto"/>
                <w:sz w:val="21"/>
                <w:szCs w:val="21"/>
                <w:lang w:val="en-US" w:eastAsia="zh-CN"/>
              </w:rPr>
              <w:t>有资质公司</w:t>
            </w:r>
            <w:r>
              <w:rPr>
                <w:rFonts w:hint="eastAsia" w:ascii="Times New Roman" w:hAnsi="Times New Roman" w:eastAsia="宋体"/>
                <w:bCs/>
                <w:color w:val="auto"/>
                <w:sz w:val="21"/>
                <w:szCs w:val="21"/>
              </w:rPr>
              <w:t>处理</w:t>
            </w:r>
          </w:p>
        </w:tc>
        <w:tc>
          <w:tcPr>
            <w:tcW w:w="2169" w:type="dxa"/>
            <w:vMerge w:val="continue"/>
            <w:noWrap w:val="0"/>
            <w:vAlign w:val="center"/>
          </w:tcPr>
          <w:p>
            <w:pPr>
              <w:adjustRightInd w:val="0"/>
              <w:snapToGrid w:val="0"/>
              <w:jc w:val="left"/>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rFonts w:hint="eastAsia"/>
                <w:color w:val="auto"/>
                <w:sz w:val="21"/>
                <w:szCs w:val="21"/>
                <w:lang w:eastAsia="zh-CN"/>
              </w:rPr>
            </w:pPr>
            <w:r>
              <w:rPr>
                <w:rFonts w:hint="eastAsia" w:ascii="Times New Roman" w:hAnsi="Times New Roman"/>
                <w:color w:val="auto"/>
                <w:sz w:val="21"/>
                <w:szCs w:val="21"/>
                <w:lang w:val="en-US" w:eastAsia="zh-CN"/>
              </w:rPr>
              <w:t>隔油池污泥</w:t>
            </w:r>
          </w:p>
        </w:tc>
        <w:tc>
          <w:tcPr>
            <w:tcW w:w="1759" w:type="dxa"/>
            <w:vMerge w:val="continue"/>
            <w:noWrap w:val="0"/>
            <w:vAlign w:val="center"/>
          </w:tcPr>
          <w:p>
            <w:pPr>
              <w:pStyle w:val="28"/>
              <w:spacing w:after="0" w:line="240" w:lineRule="auto"/>
              <w:ind w:right="113" w:rightChars="0" w:firstLine="0" w:firstLineChars="0"/>
              <w:jc w:val="center"/>
              <w:rPr>
                <w:rFonts w:hint="eastAsia" w:ascii="Times New Roman" w:hAnsi="Times New Roman"/>
                <w:color w:val="auto"/>
                <w:sz w:val="21"/>
                <w:szCs w:val="21"/>
              </w:rPr>
            </w:pPr>
          </w:p>
        </w:tc>
        <w:tc>
          <w:tcPr>
            <w:tcW w:w="2169" w:type="dxa"/>
            <w:vMerge w:val="continue"/>
            <w:noWrap w:val="0"/>
            <w:vAlign w:val="center"/>
          </w:tcPr>
          <w:p>
            <w:pPr>
              <w:adjustRightInd w:val="0"/>
              <w:snapToGrid w:val="0"/>
              <w:jc w:val="left"/>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rFonts w:hint="eastAsia"/>
                <w:color w:val="auto"/>
                <w:sz w:val="21"/>
                <w:szCs w:val="21"/>
                <w:lang w:eastAsia="zh-CN"/>
              </w:rPr>
            </w:pPr>
            <w:r>
              <w:rPr>
                <w:rFonts w:hint="eastAsia" w:ascii="Times New Roman" w:hAnsi="Times New Roman"/>
                <w:color w:val="auto"/>
                <w:sz w:val="21"/>
                <w:szCs w:val="21"/>
                <w:lang w:val="en-US" w:eastAsia="zh-CN"/>
              </w:rPr>
              <w:t>预处理池污泥</w:t>
            </w:r>
          </w:p>
        </w:tc>
        <w:tc>
          <w:tcPr>
            <w:tcW w:w="1759" w:type="dxa"/>
            <w:vMerge w:val="continue"/>
            <w:noWrap w:val="0"/>
            <w:vAlign w:val="center"/>
          </w:tcPr>
          <w:p>
            <w:pPr>
              <w:pStyle w:val="28"/>
              <w:spacing w:after="0" w:line="240" w:lineRule="auto"/>
              <w:ind w:right="113" w:rightChars="0" w:firstLine="0" w:firstLineChars="0"/>
              <w:jc w:val="center"/>
              <w:rPr>
                <w:rFonts w:hint="eastAsia" w:ascii="Times New Roman" w:hAnsi="Times New Roman"/>
                <w:color w:val="auto"/>
                <w:sz w:val="21"/>
                <w:szCs w:val="21"/>
              </w:rPr>
            </w:pPr>
          </w:p>
        </w:tc>
        <w:tc>
          <w:tcPr>
            <w:tcW w:w="2169" w:type="dxa"/>
            <w:vMerge w:val="continue"/>
            <w:noWrap w:val="0"/>
            <w:vAlign w:val="center"/>
          </w:tcPr>
          <w:p>
            <w:pPr>
              <w:adjustRightInd w:val="0"/>
              <w:snapToGrid w:val="0"/>
              <w:jc w:val="left"/>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restart"/>
            <w:noWrap w:val="0"/>
            <w:vAlign w:val="center"/>
          </w:tcPr>
          <w:p>
            <w:pPr>
              <w:jc w:val="center"/>
              <w:rPr>
                <w:color w:val="auto"/>
                <w:sz w:val="21"/>
                <w:szCs w:val="21"/>
              </w:rPr>
            </w:pPr>
            <w:r>
              <w:rPr>
                <w:color w:val="auto"/>
                <w:sz w:val="21"/>
                <w:szCs w:val="21"/>
              </w:rPr>
              <w:t>危险废物</w:t>
            </w:r>
          </w:p>
        </w:tc>
        <w:tc>
          <w:tcPr>
            <w:tcW w:w="1616" w:type="dxa"/>
            <w:noWrap w:val="0"/>
            <w:vAlign w:val="center"/>
          </w:tcPr>
          <w:p>
            <w:pPr>
              <w:pStyle w:val="28"/>
              <w:spacing w:after="0" w:line="240" w:lineRule="auto"/>
              <w:ind w:right="113" w:rightChars="0" w:firstLine="0" w:firstLineChars="0"/>
              <w:jc w:val="center"/>
              <w:rPr>
                <w:rFonts w:hint="eastAsia"/>
                <w:color w:val="auto"/>
                <w:sz w:val="21"/>
                <w:szCs w:val="21"/>
                <w:lang w:eastAsia="zh-CN"/>
              </w:rPr>
            </w:pPr>
            <w:r>
              <w:rPr>
                <w:rFonts w:hint="eastAsia" w:ascii="宋体" w:hAnsi="宋体" w:eastAsia="宋体" w:cs="宋体"/>
                <w:color w:val="auto"/>
                <w:sz w:val="21"/>
                <w:szCs w:val="21"/>
              </w:rPr>
              <w:t>清</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沉淀池</w:t>
            </w:r>
            <w:r>
              <w:rPr>
                <w:rFonts w:hint="eastAsia" w:ascii="Times New Roman" w:hAnsi="Times New Roman" w:eastAsia="宋体" w:cs="宋体"/>
                <w:bCs/>
                <w:color w:val="auto"/>
                <w:sz w:val="21"/>
                <w:szCs w:val="21"/>
              </w:rPr>
              <w:t>浮油</w:t>
            </w:r>
            <w:r>
              <w:rPr>
                <w:rFonts w:hint="eastAsia" w:ascii="Times New Roman" w:hAnsi="Times New Roman" w:eastAsia="宋体"/>
                <w:color w:val="auto"/>
                <w:sz w:val="21"/>
                <w:szCs w:val="21"/>
              </w:rPr>
              <w:t>废</w:t>
            </w:r>
          </w:p>
        </w:tc>
        <w:tc>
          <w:tcPr>
            <w:tcW w:w="1759"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rPr>
            </w:pPr>
            <w:r>
              <w:rPr>
                <w:rFonts w:hint="eastAsia" w:ascii="Times New Roman" w:hAnsi="Times New Roman" w:eastAsia="宋体"/>
                <w:bCs/>
                <w:color w:val="auto"/>
                <w:sz w:val="21"/>
                <w:szCs w:val="21"/>
              </w:rPr>
              <w:t>定期打捞后妥善暂存于危废暂存间，定期交绵阳</w:t>
            </w:r>
            <w:r>
              <w:rPr>
                <w:rFonts w:hint="eastAsia" w:ascii="Times New Roman" w:hAnsi="Times New Roman" w:eastAsia="宋体"/>
                <w:bCs/>
                <w:color w:val="auto"/>
                <w:sz w:val="21"/>
                <w:szCs w:val="21"/>
                <w:lang w:val="en-US" w:eastAsia="zh-CN"/>
              </w:rPr>
              <w:t>市</w:t>
            </w:r>
            <w:r>
              <w:rPr>
                <w:rFonts w:hint="eastAsia" w:ascii="Times New Roman" w:hAnsi="Times New Roman" w:eastAsia="宋体"/>
                <w:bCs/>
                <w:color w:val="auto"/>
                <w:sz w:val="21"/>
                <w:szCs w:val="21"/>
              </w:rPr>
              <w:t>天捷能源有限公司处置</w:t>
            </w:r>
          </w:p>
        </w:tc>
        <w:tc>
          <w:tcPr>
            <w:tcW w:w="2169" w:type="dxa"/>
            <w:vMerge w:val="restart"/>
            <w:noWrap w:val="0"/>
            <w:vAlign w:val="center"/>
          </w:tcPr>
          <w:p>
            <w:pPr>
              <w:adjustRightInd w:val="0"/>
              <w:snapToGrid w:val="0"/>
              <w:jc w:val="center"/>
              <w:rPr>
                <w:color w:val="auto"/>
                <w:sz w:val="21"/>
                <w:szCs w:val="21"/>
              </w:rPr>
            </w:pPr>
            <w:r>
              <w:rPr>
                <w:color w:val="auto"/>
                <w:sz w:val="21"/>
                <w:szCs w:val="21"/>
              </w:rPr>
              <w:t>危险废物执行《危险废物贮存污染控制标准》（GB18597-2001）及2013年修改单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ascii="Times New Roman" w:hAnsi="Times New Roman" w:eastAsia="宋体"/>
                <w:bCs/>
                <w:color w:val="auto"/>
                <w:sz w:val="21"/>
                <w:szCs w:val="21"/>
              </w:rPr>
              <w:t>废过滤</w:t>
            </w:r>
            <w:r>
              <w:rPr>
                <w:rFonts w:hint="eastAsia"/>
                <w:bCs/>
                <w:color w:val="auto"/>
                <w:sz w:val="21"/>
                <w:szCs w:val="21"/>
                <w:lang w:val="en-US" w:eastAsia="zh-CN"/>
              </w:rPr>
              <w:t>网</w:t>
            </w:r>
          </w:p>
        </w:tc>
        <w:tc>
          <w:tcPr>
            <w:tcW w:w="1759" w:type="dxa"/>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楷体_GB2312" w:cs="宋体"/>
                <w:color w:val="auto"/>
                <w:spacing w:val="-2"/>
                <w:kern w:val="0"/>
                <w:sz w:val="21"/>
                <w:szCs w:val="21"/>
                <w:lang w:val="en-US" w:eastAsia="zh-CN" w:bidi="ar-SA"/>
              </w:rPr>
            </w:pPr>
            <w:r>
              <w:rPr>
                <w:rFonts w:hint="eastAsia" w:ascii="Times New Roman" w:hAnsi="Times New Roman" w:eastAsia="宋体"/>
                <w:bCs/>
                <w:color w:val="auto"/>
                <w:sz w:val="21"/>
                <w:szCs w:val="21"/>
                <w:lang w:val="en-US" w:eastAsia="zh-CN"/>
              </w:rPr>
              <w:t>交由有资质公司处置</w:t>
            </w:r>
          </w:p>
        </w:tc>
        <w:tc>
          <w:tcPr>
            <w:tcW w:w="2169" w:type="dxa"/>
            <w:vMerge w:val="continue"/>
            <w:noWrap w:val="0"/>
            <w:vAlign w:val="center"/>
          </w:tcPr>
          <w:p>
            <w:pPr>
              <w:adjustRightInd w:val="0"/>
              <w:snapToGrid w:val="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rFonts w:hint="eastAsia"/>
                <w:color w:val="auto"/>
                <w:sz w:val="21"/>
                <w:szCs w:val="21"/>
                <w:lang w:eastAsia="zh-CN"/>
              </w:rPr>
            </w:pPr>
            <w:r>
              <w:rPr>
                <w:rFonts w:hint="eastAsia" w:ascii="Times New Roman" w:hAnsi="Times New Roman" w:eastAsia="宋体"/>
                <w:color w:val="auto"/>
                <w:sz w:val="21"/>
                <w:szCs w:val="21"/>
              </w:rPr>
              <w:t>UV灯管</w:t>
            </w:r>
          </w:p>
        </w:tc>
        <w:tc>
          <w:tcPr>
            <w:tcW w:w="1759"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rPr>
            </w:pPr>
            <w:r>
              <w:rPr>
                <w:rFonts w:hint="eastAsia" w:ascii="Times New Roman" w:hAnsi="Times New Roman" w:eastAsia="宋体"/>
                <w:bCs/>
                <w:color w:val="auto"/>
                <w:sz w:val="21"/>
                <w:szCs w:val="21"/>
              </w:rPr>
              <w:t>交由乐山高能时代环境技术有限公司处置</w:t>
            </w:r>
          </w:p>
        </w:tc>
        <w:tc>
          <w:tcPr>
            <w:tcW w:w="2169" w:type="dxa"/>
            <w:vMerge w:val="continue"/>
            <w:noWrap w:val="0"/>
            <w:vAlign w:val="center"/>
          </w:tcPr>
          <w:p>
            <w:pPr>
              <w:adjustRightInd w:val="0"/>
              <w:snapToGrid w:val="0"/>
              <w:jc w:val="left"/>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rFonts w:hint="eastAsia"/>
                <w:color w:val="auto"/>
                <w:sz w:val="21"/>
                <w:szCs w:val="21"/>
                <w:lang w:eastAsia="zh-CN"/>
              </w:rPr>
            </w:pPr>
            <w:r>
              <w:rPr>
                <w:rFonts w:hint="eastAsia" w:ascii="Times New Roman" w:hAnsi="Times New Roman" w:eastAsia="宋体"/>
                <w:bCs/>
                <w:color w:val="auto"/>
                <w:sz w:val="21"/>
                <w:szCs w:val="21"/>
              </w:rPr>
              <w:t>废油桶</w:t>
            </w:r>
          </w:p>
        </w:tc>
        <w:tc>
          <w:tcPr>
            <w:tcW w:w="1759"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color w:val="auto"/>
                <w:sz w:val="21"/>
                <w:szCs w:val="21"/>
              </w:rPr>
            </w:pPr>
            <w:r>
              <w:rPr>
                <w:rFonts w:hint="eastAsia" w:ascii="Times New Roman" w:hAnsi="Times New Roman" w:eastAsia="宋体"/>
                <w:bCs/>
                <w:color w:val="auto"/>
                <w:sz w:val="21"/>
                <w:szCs w:val="21"/>
              </w:rPr>
              <w:t>收集后暂存于危废暂存间定期交绵阳</w:t>
            </w:r>
            <w:r>
              <w:rPr>
                <w:rFonts w:hint="eastAsia" w:ascii="Times New Roman" w:hAnsi="Times New Roman" w:eastAsia="宋体"/>
                <w:bCs/>
                <w:color w:val="auto"/>
                <w:sz w:val="21"/>
                <w:szCs w:val="21"/>
                <w:lang w:val="en-US" w:eastAsia="zh-CN"/>
              </w:rPr>
              <w:t>市</w:t>
            </w:r>
            <w:r>
              <w:rPr>
                <w:rFonts w:hint="eastAsia" w:ascii="Times New Roman" w:hAnsi="Times New Roman" w:eastAsia="宋体"/>
                <w:bCs/>
                <w:color w:val="auto"/>
                <w:sz w:val="21"/>
                <w:szCs w:val="21"/>
              </w:rPr>
              <w:t>天捷能源有限公司处置</w:t>
            </w:r>
          </w:p>
        </w:tc>
        <w:tc>
          <w:tcPr>
            <w:tcW w:w="2169" w:type="dxa"/>
            <w:vMerge w:val="continue"/>
            <w:noWrap w:val="0"/>
            <w:vAlign w:val="center"/>
          </w:tcPr>
          <w:p>
            <w:pPr>
              <w:adjustRightInd w:val="0"/>
              <w:snapToGrid w:val="0"/>
              <w:jc w:val="left"/>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71" w:type="dxa"/>
            <w:vMerge w:val="continue"/>
            <w:noWrap w:val="0"/>
            <w:vAlign w:val="center"/>
          </w:tcPr>
          <w:p>
            <w:pPr>
              <w:adjustRightInd w:val="0"/>
              <w:snapToGrid w:val="0"/>
              <w:jc w:val="center"/>
              <w:rPr>
                <w:color w:val="auto"/>
                <w:sz w:val="21"/>
                <w:szCs w:val="21"/>
              </w:rPr>
            </w:pPr>
          </w:p>
        </w:tc>
        <w:tc>
          <w:tcPr>
            <w:tcW w:w="1745" w:type="dxa"/>
            <w:vMerge w:val="continue"/>
            <w:noWrap w:val="0"/>
            <w:vAlign w:val="center"/>
          </w:tcPr>
          <w:p>
            <w:pPr>
              <w:adjustRightInd w:val="0"/>
              <w:snapToGrid w:val="0"/>
              <w:jc w:val="center"/>
              <w:rPr>
                <w:color w:val="auto"/>
                <w:sz w:val="21"/>
                <w:szCs w:val="21"/>
              </w:rPr>
            </w:pPr>
          </w:p>
        </w:tc>
        <w:tc>
          <w:tcPr>
            <w:tcW w:w="1616" w:type="dxa"/>
            <w:noWrap w:val="0"/>
            <w:vAlign w:val="center"/>
          </w:tcPr>
          <w:p>
            <w:pPr>
              <w:pStyle w:val="28"/>
              <w:spacing w:after="0" w:line="240" w:lineRule="auto"/>
              <w:ind w:right="113" w:rightChars="0" w:firstLine="0" w:firstLineChars="0"/>
              <w:jc w:val="center"/>
              <w:rPr>
                <w:color w:val="auto"/>
                <w:sz w:val="21"/>
                <w:szCs w:val="21"/>
              </w:rPr>
            </w:pPr>
            <w:r>
              <w:rPr>
                <w:rFonts w:hint="eastAsia" w:ascii="Times New Roman" w:hAnsi="Times New Roman" w:eastAsia="宋体"/>
                <w:color w:val="auto"/>
                <w:sz w:val="21"/>
                <w:szCs w:val="21"/>
                <w:highlight w:val="none"/>
              </w:rPr>
              <w:t>废活性炭</w:t>
            </w:r>
          </w:p>
        </w:tc>
        <w:tc>
          <w:tcPr>
            <w:tcW w:w="1759" w:type="dxa"/>
            <w:noWrap w:val="0"/>
            <w:vAlign w:val="center"/>
          </w:tcPr>
          <w:p>
            <w:pPr>
              <w:pStyle w:val="2"/>
              <w:adjustRightInd/>
              <w:spacing w:before="0" w:line="240" w:lineRule="auto"/>
              <w:ind w:left="0" w:leftChars="0" w:right="0" w:rightChars="0" w:firstLine="0" w:firstLineChars="0"/>
              <w:jc w:val="center"/>
              <w:textAlignment w:val="auto"/>
              <w:rPr>
                <w:color w:val="auto"/>
                <w:sz w:val="21"/>
                <w:szCs w:val="21"/>
              </w:rPr>
            </w:pPr>
            <w:r>
              <w:rPr>
                <w:rFonts w:hint="eastAsia" w:ascii="Times New Roman" w:hAnsi="Times New Roman" w:eastAsia="宋体"/>
                <w:bCs/>
                <w:color w:val="auto"/>
                <w:sz w:val="21"/>
                <w:szCs w:val="21"/>
              </w:rPr>
              <w:t>收集后暂存于危废暂存间定期交珙县华洁危险废物治理有限公司处置</w:t>
            </w:r>
          </w:p>
        </w:tc>
        <w:tc>
          <w:tcPr>
            <w:tcW w:w="2169" w:type="dxa"/>
            <w:vMerge w:val="continue"/>
            <w:noWrap w:val="0"/>
            <w:vAlign w:val="center"/>
          </w:tcPr>
          <w:p>
            <w:pPr>
              <w:adjustRightInd w:val="0"/>
              <w:snapToGrid w:val="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1"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土壤及地下水</w:t>
            </w:r>
          </w:p>
          <w:p>
            <w:pPr>
              <w:adjustRightInd w:val="0"/>
              <w:snapToGrid w:val="0"/>
              <w:jc w:val="center"/>
              <w:rPr>
                <w:rFonts w:hint="eastAsia" w:ascii="宋体" w:hAnsi="宋体" w:cs="宋体"/>
                <w:color w:val="auto"/>
                <w:szCs w:val="21"/>
              </w:rPr>
            </w:pPr>
            <w:r>
              <w:rPr>
                <w:rFonts w:hint="eastAsia" w:ascii="宋体" w:hAnsi="宋体" w:cs="宋体"/>
                <w:color w:val="auto"/>
                <w:szCs w:val="21"/>
              </w:rPr>
              <w:t>污染防治措施</w:t>
            </w:r>
          </w:p>
        </w:tc>
        <w:tc>
          <w:tcPr>
            <w:tcW w:w="7289"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rPr>
            </w:pPr>
            <w:r>
              <w:rPr>
                <w:rFonts w:hint="eastAsia"/>
                <w:color w:val="auto"/>
                <w:lang w:val="en-US" w:eastAsia="zh-CN"/>
              </w:rPr>
              <w:t>原</w:t>
            </w:r>
            <w:r>
              <w:rPr>
                <w:rFonts w:hint="eastAsia"/>
                <w:color w:val="auto"/>
              </w:rPr>
              <w:t>项目</w:t>
            </w:r>
            <w:r>
              <w:rPr>
                <w:rFonts w:hint="eastAsia"/>
                <w:color w:val="auto"/>
                <w:lang w:val="en-US" w:eastAsia="zh-CN"/>
              </w:rPr>
              <w:t>已完成</w:t>
            </w:r>
            <w:r>
              <w:rPr>
                <w:rFonts w:hint="eastAsia"/>
                <w:color w:val="auto"/>
              </w:rPr>
              <w:t>全厂</w:t>
            </w:r>
            <w:r>
              <w:rPr>
                <w:rFonts w:hint="eastAsia"/>
                <w:color w:val="auto"/>
                <w:lang w:val="en-US" w:eastAsia="zh-CN"/>
              </w:rPr>
              <w:t>分区</w:t>
            </w:r>
            <w:r>
              <w:rPr>
                <w:rFonts w:hint="eastAsia"/>
                <w:color w:val="auto"/>
              </w:rPr>
              <w:t>防渗及</w:t>
            </w:r>
            <w:r>
              <w:rPr>
                <w:rFonts w:hint="eastAsia"/>
                <w:color w:val="auto"/>
                <w:lang w:val="en-US" w:eastAsia="zh-CN"/>
              </w:rPr>
              <w:t>危废暂存间建设，本次改扩建</w:t>
            </w:r>
            <w:r>
              <w:rPr>
                <w:rFonts w:hint="eastAsia"/>
                <w:color w:val="auto"/>
              </w:rPr>
              <w:t>需整改内容如下：进一步规范危废暂存间，按《危险废物贮存污染控制标准》（GB18597-2001/XG1-2013）有关要求进行建设，新增导流沟、围堰、托盘等，采用环氧树脂漆对暂存间进行防渗补漆。危险废物做到分类存放，完善台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1"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生态保护措施</w:t>
            </w:r>
          </w:p>
        </w:tc>
        <w:tc>
          <w:tcPr>
            <w:tcW w:w="7289" w:type="dxa"/>
            <w:gridSpan w:val="4"/>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1" w:type="dxa"/>
            <w:noWrap w:val="0"/>
            <w:vAlign w:val="center"/>
          </w:tcPr>
          <w:p>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环境风险</w:t>
            </w:r>
          </w:p>
          <w:p>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防范措施</w:t>
            </w:r>
          </w:p>
        </w:tc>
        <w:tc>
          <w:tcPr>
            <w:tcW w:w="7289" w:type="dxa"/>
            <w:gridSpan w:val="4"/>
            <w:noWrap w:val="0"/>
            <w:vAlign w:val="center"/>
          </w:tcPr>
          <w:p>
            <w:pPr>
              <w:numPr>
                <w:ilvl w:val="0"/>
                <w:numId w:val="10"/>
              </w:numPr>
              <w:adjustRightInd w:val="0"/>
              <w:snapToGrid w:val="0"/>
              <w:spacing w:line="360" w:lineRule="auto"/>
              <w:ind w:firstLine="420" w:firstLineChars="200"/>
              <w:jc w:val="left"/>
              <w:rPr>
                <w:rFonts w:hint="eastAsia"/>
                <w:color w:val="auto"/>
              </w:rPr>
            </w:pPr>
            <w:r>
              <w:rPr>
                <w:rFonts w:hint="eastAsia"/>
                <w:color w:val="auto"/>
              </w:rPr>
              <w:t>风险防范措施</w:t>
            </w:r>
          </w:p>
          <w:p>
            <w:pPr>
              <w:adjustRightInd w:val="0"/>
              <w:snapToGrid w:val="0"/>
              <w:spacing w:line="360" w:lineRule="auto"/>
              <w:ind w:firstLine="420" w:firstLineChars="200"/>
              <w:rPr>
                <w:rFonts w:hint="eastAsia"/>
                <w:color w:val="auto"/>
              </w:rPr>
            </w:pPr>
            <w:r>
              <w:rPr>
                <w:rFonts w:hint="eastAsia"/>
                <w:color w:val="auto"/>
              </w:rPr>
              <w:t>为防止各类事故的发生，环评要求应采取以下措施：</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982"/>
              <w:gridCol w:w="54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shd w:val="clear" w:color="auto" w:fill="DCE6F2" w:themeFill="accent1" w:themeFillTint="32"/>
                  <w:noWrap w:val="0"/>
                  <w:vAlign w:val="center"/>
                </w:tcPr>
                <w:p>
                  <w:pPr>
                    <w:snapToGrid w:val="0"/>
                    <w:jc w:val="center"/>
                    <w:rPr>
                      <w:b/>
                      <w:bCs/>
                      <w:color w:val="auto"/>
                    </w:rPr>
                  </w:pPr>
                  <w:r>
                    <w:rPr>
                      <w:b/>
                      <w:bCs/>
                      <w:color w:val="auto"/>
                    </w:rPr>
                    <w:t>序号</w:t>
                  </w:r>
                </w:p>
              </w:tc>
              <w:tc>
                <w:tcPr>
                  <w:tcW w:w="694" w:type="pct"/>
                  <w:shd w:val="clear" w:color="auto" w:fill="DCE6F2" w:themeFill="accent1" w:themeFillTint="32"/>
                  <w:noWrap w:val="0"/>
                  <w:vAlign w:val="center"/>
                </w:tcPr>
                <w:p>
                  <w:pPr>
                    <w:snapToGrid w:val="0"/>
                    <w:jc w:val="center"/>
                    <w:rPr>
                      <w:b/>
                      <w:bCs/>
                      <w:color w:val="auto"/>
                    </w:rPr>
                  </w:pPr>
                  <w:r>
                    <w:rPr>
                      <w:b/>
                      <w:bCs/>
                      <w:color w:val="auto"/>
                    </w:rPr>
                    <w:t>类型</w:t>
                  </w:r>
                </w:p>
              </w:tc>
              <w:tc>
                <w:tcPr>
                  <w:tcW w:w="3861" w:type="pct"/>
                  <w:shd w:val="clear" w:color="auto" w:fill="DCE6F2" w:themeFill="accent1" w:themeFillTint="32"/>
                  <w:noWrap w:val="0"/>
                  <w:vAlign w:val="center"/>
                </w:tcPr>
                <w:p>
                  <w:pPr>
                    <w:snapToGrid w:val="0"/>
                    <w:jc w:val="center"/>
                    <w:rPr>
                      <w:b/>
                      <w:bCs/>
                      <w:color w:val="auto"/>
                    </w:rPr>
                  </w:pPr>
                  <w:r>
                    <w:rPr>
                      <w:b/>
                      <w:bCs/>
                      <w:color w:val="auto"/>
                    </w:rPr>
                    <w:t>风险防范措施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43" w:type="pct"/>
                  <w:noWrap w:val="0"/>
                  <w:vAlign w:val="center"/>
                </w:tcPr>
                <w:p>
                  <w:pPr>
                    <w:snapToGrid w:val="0"/>
                    <w:jc w:val="center"/>
                    <w:rPr>
                      <w:color w:val="auto"/>
                    </w:rPr>
                  </w:pPr>
                  <w:r>
                    <w:rPr>
                      <w:color w:val="auto"/>
                    </w:rPr>
                    <w:t>1</w:t>
                  </w:r>
                </w:p>
              </w:tc>
              <w:tc>
                <w:tcPr>
                  <w:tcW w:w="694" w:type="pct"/>
                  <w:noWrap w:val="0"/>
                  <w:vAlign w:val="center"/>
                </w:tcPr>
                <w:p>
                  <w:pPr>
                    <w:snapToGrid w:val="0"/>
                    <w:jc w:val="center"/>
                    <w:rPr>
                      <w:rFonts w:hint="eastAsia"/>
                      <w:color w:val="auto"/>
                      <w:lang w:eastAsia="zh-CN"/>
                    </w:rPr>
                  </w:pPr>
                  <w:r>
                    <w:rPr>
                      <w:rFonts w:hint="eastAsia"/>
                      <w:color w:val="auto"/>
                      <w:lang w:eastAsia="zh-CN"/>
                    </w:rPr>
                    <w:t>机油</w:t>
                  </w:r>
                </w:p>
                <w:p>
                  <w:pPr>
                    <w:snapToGrid w:val="0"/>
                    <w:jc w:val="center"/>
                    <w:rPr>
                      <w:color w:val="auto"/>
                    </w:rPr>
                  </w:pPr>
                  <w:r>
                    <w:rPr>
                      <w:color w:val="auto"/>
                    </w:rPr>
                    <w:t>泄漏</w:t>
                  </w:r>
                </w:p>
              </w:tc>
              <w:tc>
                <w:tcPr>
                  <w:tcW w:w="3861" w:type="pct"/>
                  <w:noWrap w:val="0"/>
                  <w:vAlign w:val="center"/>
                </w:tcPr>
                <w:p>
                  <w:pPr>
                    <w:pStyle w:val="10"/>
                    <w:spacing w:before="0" w:after="0" w:line="240" w:lineRule="auto"/>
                    <w:ind w:right="0"/>
                    <w:rPr>
                      <w:rFonts w:hint="eastAsia"/>
                      <w:color w:val="auto"/>
                      <w:sz w:val="21"/>
                      <w:szCs w:val="22"/>
                    </w:rPr>
                  </w:pPr>
                  <w:r>
                    <w:rPr>
                      <w:rFonts w:hint="eastAsia"/>
                      <w:color w:val="auto"/>
                      <w:sz w:val="21"/>
                      <w:szCs w:val="22"/>
                    </w:rPr>
                    <w:t>①制订快速有效的环境风险事故应急救援预案，建立环境风险事故报警系统体系，确保各种通讯工具处于良好状态，制定标准的报警方法和程序，并对工人进行紧急事态时的报警培训，作好救援专业队伍的组织、训练和演练，对工人进行自救和互救知识的宣传教育；</w:t>
                  </w:r>
                </w:p>
                <w:p>
                  <w:pPr>
                    <w:pStyle w:val="10"/>
                    <w:spacing w:before="0" w:after="0" w:line="240" w:lineRule="auto"/>
                    <w:ind w:right="0"/>
                    <w:rPr>
                      <w:rFonts w:hint="eastAsia"/>
                      <w:color w:val="auto"/>
                      <w:sz w:val="21"/>
                      <w:szCs w:val="22"/>
                    </w:rPr>
                  </w:pPr>
                  <w:r>
                    <w:rPr>
                      <w:rFonts w:hint="eastAsia"/>
                      <w:color w:val="auto"/>
                      <w:sz w:val="21"/>
                      <w:szCs w:val="22"/>
                    </w:rPr>
                    <w:t>②定期检查液态原材料装盛装置的完整性和密封性；</w:t>
                  </w:r>
                </w:p>
                <w:p>
                  <w:pPr>
                    <w:pStyle w:val="10"/>
                    <w:spacing w:before="0" w:after="0" w:line="240" w:lineRule="auto"/>
                    <w:ind w:right="0"/>
                    <w:rPr>
                      <w:rFonts w:hint="eastAsia"/>
                      <w:color w:val="auto"/>
                      <w:sz w:val="21"/>
                      <w:szCs w:val="22"/>
                    </w:rPr>
                  </w:pPr>
                  <w:r>
                    <w:rPr>
                      <w:rFonts w:hint="eastAsia"/>
                      <w:color w:val="auto"/>
                      <w:sz w:val="21"/>
                      <w:szCs w:val="22"/>
                    </w:rPr>
                    <w:t>③定期加强对员工的相关操作等的培训，安排专人对生产过程进行监督，一旦发现违规操作，立即进行教育改正。</w:t>
                  </w:r>
                </w:p>
                <w:p>
                  <w:pPr>
                    <w:pStyle w:val="10"/>
                    <w:spacing w:before="0" w:after="0" w:line="240" w:lineRule="auto"/>
                    <w:ind w:right="0"/>
                    <w:rPr>
                      <w:rFonts w:hint="eastAsia"/>
                      <w:color w:val="auto"/>
                      <w:sz w:val="21"/>
                      <w:szCs w:val="22"/>
                    </w:rPr>
                  </w:pPr>
                  <w:r>
                    <w:rPr>
                      <w:rFonts w:hint="eastAsia"/>
                      <w:color w:val="auto"/>
                      <w:sz w:val="21"/>
                      <w:szCs w:val="22"/>
                    </w:rPr>
                    <w:t>④化学品库房、油料存放区地面防渗措施，采用防渗托盘用于存放原料，设置10cm围堰，设置空桶作为备用收容措施；</w:t>
                  </w:r>
                </w:p>
                <w:p>
                  <w:pPr>
                    <w:pStyle w:val="10"/>
                    <w:spacing w:before="0" w:after="0" w:line="240" w:lineRule="auto"/>
                    <w:ind w:right="0"/>
                    <w:rPr>
                      <w:rFonts w:hint="eastAsia"/>
                      <w:color w:val="auto"/>
                    </w:rPr>
                  </w:pPr>
                  <w:r>
                    <w:rPr>
                      <w:rFonts w:hint="eastAsia"/>
                      <w:color w:val="auto"/>
                      <w:sz w:val="21"/>
                      <w:szCs w:val="22"/>
                    </w:rPr>
                    <w:t>⑤危废暂存间地面采取防渗措施，设置地沟，收集池，采用密闭容器收集液体危废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noWrap w:val="0"/>
                  <w:vAlign w:val="center"/>
                </w:tcPr>
                <w:p>
                  <w:pPr>
                    <w:snapToGrid w:val="0"/>
                    <w:jc w:val="center"/>
                    <w:rPr>
                      <w:color w:val="auto"/>
                    </w:rPr>
                  </w:pPr>
                  <w:r>
                    <w:rPr>
                      <w:color w:val="auto"/>
                    </w:rPr>
                    <w:t>2</w:t>
                  </w:r>
                </w:p>
              </w:tc>
              <w:tc>
                <w:tcPr>
                  <w:tcW w:w="694" w:type="pct"/>
                  <w:noWrap w:val="0"/>
                  <w:vAlign w:val="center"/>
                </w:tcPr>
                <w:p>
                  <w:pPr>
                    <w:snapToGrid w:val="0"/>
                    <w:jc w:val="center"/>
                    <w:rPr>
                      <w:color w:val="auto"/>
                    </w:rPr>
                  </w:pPr>
                  <w:r>
                    <w:rPr>
                      <w:color w:val="auto"/>
                    </w:rPr>
                    <w:t>火灾</w:t>
                  </w:r>
                </w:p>
              </w:tc>
              <w:tc>
                <w:tcPr>
                  <w:tcW w:w="3861" w:type="pct"/>
                  <w:noWrap w:val="0"/>
                  <w:vAlign w:val="center"/>
                </w:tcPr>
                <w:p>
                  <w:pPr>
                    <w:snapToGrid w:val="0"/>
                    <w:rPr>
                      <w:color w:val="auto"/>
                    </w:rPr>
                  </w:pPr>
                  <w:r>
                    <w:rPr>
                      <w:rFonts w:hint="eastAsia"/>
                      <w:color w:val="auto"/>
                    </w:rPr>
                    <w:t>①</w:t>
                  </w:r>
                  <w:r>
                    <w:rPr>
                      <w:color w:val="auto"/>
                    </w:rPr>
                    <w:t>在液态原材料暂存区</w:t>
                  </w:r>
                  <w:r>
                    <w:rPr>
                      <w:rFonts w:hint="eastAsia"/>
                      <w:color w:val="auto"/>
                    </w:rPr>
                    <w:t>、</w:t>
                  </w:r>
                  <w:r>
                    <w:rPr>
                      <w:color w:val="auto"/>
                    </w:rPr>
                    <w:t>生产车间设置禁止明火的标识；</w:t>
                  </w:r>
                </w:p>
                <w:p>
                  <w:pPr>
                    <w:snapToGrid w:val="0"/>
                    <w:rPr>
                      <w:color w:val="auto"/>
                    </w:rPr>
                  </w:pPr>
                  <w:r>
                    <w:rPr>
                      <w:rFonts w:hint="eastAsia"/>
                      <w:color w:val="auto"/>
                    </w:rPr>
                    <w:t>②</w:t>
                  </w:r>
                  <w:r>
                    <w:rPr>
                      <w:color w:val="auto"/>
                    </w:rPr>
                    <w:t>安排专人定期对厂区进行巡查，一旦出现问题，立即进行整改；</w:t>
                  </w:r>
                </w:p>
                <w:p>
                  <w:pPr>
                    <w:snapToGrid w:val="0"/>
                    <w:rPr>
                      <w:color w:val="auto"/>
                    </w:rPr>
                  </w:pPr>
                  <w:r>
                    <w:rPr>
                      <w:rFonts w:hint="eastAsia"/>
                      <w:color w:val="auto"/>
                    </w:rPr>
                    <w:t>③</w:t>
                  </w:r>
                  <w:r>
                    <w:rPr>
                      <w:color w:val="auto"/>
                    </w:rPr>
                    <w:t>定期加强对厂区员工的安全操作和火灾防范意识的培训。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3" w:type="pct"/>
                  <w:noWrap w:val="0"/>
                  <w:vAlign w:val="center"/>
                </w:tcPr>
                <w:p>
                  <w:pPr>
                    <w:snapToGrid w:val="0"/>
                    <w:jc w:val="center"/>
                    <w:rPr>
                      <w:color w:val="auto"/>
                    </w:rPr>
                  </w:pPr>
                  <w:r>
                    <w:rPr>
                      <w:color w:val="auto"/>
                    </w:rPr>
                    <w:t>3</w:t>
                  </w:r>
                </w:p>
              </w:tc>
              <w:tc>
                <w:tcPr>
                  <w:tcW w:w="694" w:type="pct"/>
                  <w:noWrap w:val="0"/>
                  <w:vAlign w:val="center"/>
                </w:tcPr>
                <w:p>
                  <w:pPr>
                    <w:snapToGrid w:val="0"/>
                    <w:jc w:val="center"/>
                    <w:rPr>
                      <w:color w:val="auto"/>
                    </w:rPr>
                  </w:pPr>
                  <w:r>
                    <w:rPr>
                      <w:rFonts w:hint="eastAsia"/>
                      <w:color w:val="auto"/>
                    </w:rPr>
                    <w:t>有机废气</w:t>
                  </w:r>
                  <w:r>
                    <w:rPr>
                      <w:color w:val="auto"/>
                    </w:rPr>
                    <w:t>事故排放</w:t>
                  </w:r>
                </w:p>
              </w:tc>
              <w:tc>
                <w:tcPr>
                  <w:tcW w:w="3861" w:type="pct"/>
                  <w:noWrap w:val="0"/>
                  <w:vAlign w:val="center"/>
                </w:tcPr>
                <w:p>
                  <w:pPr>
                    <w:snapToGrid w:val="0"/>
                    <w:rPr>
                      <w:rFonts w:hint="eastAsia"/>
                      <w:color w:val="auto"/>
                    </w:rPr>
                  </w:pPr>
                  <w:r>
                    <w:rPr>
                      <w:color w:val="auto"/>
                    </w:rPr>
                    <w:t>加强对</w:t>
                  </w:r>
                  <w:r>
                    <w:rPr>
                      <w:rFonts w:hint="eastAsia"/>
                      <w:color w:val="auto"/>
                    </w:rPr>
                    <w:t>有机废气</w:t>
                  </w:r>
                  <w:r>
                    <w:rPr>
                      <w:color w:val="auto"/>
                    </w:rPr>
                    <w:t>处理装置的检修</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27" w:type="dxa"/>
                  <w:noWrap w:val="0"/>
                  <w:vAlign w:val="center"/>
                </w:tcPr>
                <w:p>
                  <w:pPr>
                    <w:snapToGrid w:val="0"/>
                    <w:jc w:val="center"/>
                    <w:rPr>
                      <w:color w:val="auto"/>
                    </w:rPr>
                  </w:pPr>
                  <w:r>
                    <w:rPr>
                      <w:rFonts w:hint="eastAsia"/>
                      <w:color w:val="auto"/>
                      <w:lang w:val="en-US" w:eastAsia="zh-CN"/>
                    </w:rPr>
                    <w:t>4</w:t>
                  </w:r>
                </w:p>
              </w:tc>
              <w:tc>
                <w:tcPr>
                  <w:tcW w:w="982" w:type="dxa"/>
                  <w:noWrap w:val="0"/>
                  <w:vAlign w:val="center"/>
                </w:tcPr>
                <w:p>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eastAsia"/>
                      <w:color w:val="auto"/>
                    </w:rPr>
                  </w:pPr>
                  <w:r>
                    <w:rPr>
                      <w:rFonts w:hint="eastAsia"/>
                      <w:color w:val="auto"/>
                      <w:lang w:eastAsia="zh-CN"/>
                    </w:rPr>
                    <w:t>污水泄露事故</w:t>
                  </w:r>
                </w:p>
              </w:tc>
              <w:tc>
                <w:tcPr>
                  <w:tcW w:w="3861" w:type="pct"/>
                  <w:noWrap w:val="0"/>
                  <w:vAlign w:val="center"/>
                </w:tcPr>
                <w:p>
                  <w:pPr>
                    <w:snapToGrid w:val="0"/>
                    <w:rPr>
                      <w:color w:val="auto"/>
                    </w:rPr>
                  </w:pPr>
                  <w:r>
                    <w:rPr>
                      <w:rFonts w:hint="eastAsia"/>
                      <w:color w:val="auto"/>
                      <w:sz w:val="21"/>
                      <w:szCs w:val="21"/>
                    </w:rPr>
                    <w:t>污水处理站发生事故停运时，应将污水立即引入污水处理站事故应急池暂存，并对污水处理站进行紧急抢修，必要时安排吸污车将污水外运处理，确保污水不外排。</w:t>
                  </w:r>
                </w:p>
              </w:tc>
            </w:tr>
          </w:tbl>
          <w:p>
            <w:pPr>
              <w:adjustRightInd w:val="0"/>
              <w:snapToGrid w:val="0"/>
              <w:spacing w:line="360" w:lineRule="auto"/>
              <w:ind w:firstLine="420" w:firstLineChars="200"/>
              <w:rPr>
                <w:rFonts w:hint="eastAsia"/>
                <w:color w:val="auto"/>
              </w:rPr>
            </w:pPr>
            <w:r>
              <w:rPr>
                <w:rFonts w:hint="eastAsia"/>
                <w:color w:val="auto"/>
              </w:rPr>
              <w:t>2、风险应急措施</w:t>
            </w:r>
          </w:p>
          <w:p>
            <w:pPr>
              <w:adjustRightInd w:val="0"/>
              <w:snapToGrid w:val="0"/>
              <w:spacing w:line="360" w:lineRule="auto"/>
              <w:ind w:firstLine="420" w:firstLineChars="200"/>
              <w:rPr>
                <w:rFonts w:hint="eastAsia"/>
                <w:color w:val="auto"/>
              </w:rPr>
            </w:pPr>
            <w:r>
              <w:rPr>
                <w:rFonts w:hint="eastAsia"/>
                <w:color w:val="auto"/>
              </w:rPr>
              <w:t>为减少风险事故的破坏，环评要求采取以下风险防范措施：</w:t>
            </w:r>
          </w:p>
          <w:p>
            <w:pPr>
              <w:adjustRightInd w:val="0"/>
              <w:snapToGrid w:val="0"/>
              <w:jc w:val="center"/>
              <w:rPr>
                <w:rFonts w:hint="eastAsia"/>
                <w:b/>
                <w:bCs/>
                <w:color w:val="auto"/>
              </w:rPr>
            </w:pPr>
            <w:r>
              <w:rPr>
                <w:rFonts w:hint="eastAsia"/>
                <w:b/>
                <w:bCs/>
                <w:color w:val="auto"/>
              </w:rPr>
              <w:t>表</w:t>
            </w:r>
            <w:r>
              <w:rPr>
                <w:rFonts w:hint="eastAsia"/>
                <w:b/>
                <w:bCs/>
                <w:color w:val="auto"/>
                <w:lang w:val="en-US" w:eastAsia="zh-CN"/>
              </w:rPr>
              <w:t>5-2</w:t>
            </w:r>
            <w:r>
              <w:rPr>
                <w:rFonts w:hint="eastAsia"/>
                <w:b/>
                <w:bCs/>
                <w:color w:val="auto"/>
              </w:rPr>
              <w:t xml:space="preserve"> 本项目风险应急措施一览表内容</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126"/>
              <w:gridCol w:w="53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shd w:val="clear" w:color="auto" w:fill="DCE6F2" w:themeFill="accent1" w:themeFillTint="32"/>
                  <w:noWrap w:val="0"/>
                  <w:vAlign w:val="center"/>
                </w:tcPr>
                <w:p>
                  <w:pPr>
                    <w:snapToGrid w:val="0"/>
                    <w:jc w:val="center"/>
                    <w:rPr>
                      <w:b/>
                      <w:bCs/>
                      <w:color w:val="auto"/>
                    </w:rPr>
                  </w:pPr>
                  <w:r>
                    <w:rPr>
                      <w:b/>
                      <w:bCs/>
                      <w:color w:val="auto"/>
                    </w:rPr>
                    <w:t>序号</w:t>
                  </w:r>
                </w:p>
              </w:tc>
              <w:tc>
                <w:tcPr>
                  <w:tcW w:w="796" w:type="pct"/>
                  <w:shd w:val="clear" w:color="auto" w:fill="DCE6F2" w:themeFill="accent1" w:themeFillTint="32"/>
                  <w:noWrap w:val="0"/>
                  <w:vAlign w:val="center"/>
                </w:tcPr>
                <w:p>
                  <w:pPr>
                    <w:snapToGrid w:val="0"/>
                    <w:jc w:val="center"/>
                    <w:rPr>
                      <w:b/>
                      <w:bCs/>
                      <w:color w:val="auto"/>
                    </w:rPr>
                  </w:pPr>
                  <w:r>
                    <w:rPr>
                      <w:b/>
                      <w:bCs/>
                      <w:color w:val="auto"/>
                    </w:rPr>
                    <w:t>类型</w:t>
                  </w:r>
                </w:p>
              </w:tc>
              <w:tc>
                <w:tcPr>
                  <w:tcW w:w="3759" w:type="pct"/>
                  <w:shd w:val="clear" w:color="auto" w:fill="DCE6F2" w:themeFill="accent1" w:themeFillTint="32"/>
                  <w:noWrap w:val="0"/>
                  <w:vAlign w:val="center"/>
                </w:tcPr>
                <w:p>
                  <w:pPr>
                    <w:snapToGrid w:val="0"/>
                    <w:jc w:val="center"/>
                    <w:rPr>
                      <w:b/>
                      <w:bCs/>
                      <w:color w:val="auto"/>
                    </w:rPr>
                  </w:pPr>
                  <w:r>
                    <w:rPr>
                      <w:b/>
                      <w:snapToGrid w:val="0"/>
                      <w:color w:val="auto"/>
                      <w:kern w:val="0"/>
                    </w:rPr>
                    <w:t>风险应急措施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44" w:type="pct"/>
                  <w:noWrap w:val="0"/>
                  <w:vAlign w:val="center"/>
                </w:tcPr>
                <w:p>
                  <w:pPr>
                    <w:snapToGrid w:val="0"/>
                    <w:jc w:val="center"/>
                    <w:rPr>
                      <w:color w:val="auto"/>
                    </w:rPr>
                  </w:pPr>
                  <w:r>
                    <w:rPr>
                      <w:color w:val="auto"/>
                    </w:rPr>
                    <w:t>1</w:t>
                  </w:r>
                </w:p>
              </w:tc>
              <w:tc>
                <w:tcPr>
                  <w:tcW w:w="796" w:type="pct"/>
                  <w:noWrap w:val="0"/>
                  <w:vAlign w:val="center"/>
                </w:tcPr>
                <w:p>
                  <w:pPr>
                    <w:snapToGrid w:val="0"/>
                    <w:jc w:val="center"/>
                    <w:rPr>
                      <w:color w:val="auto"/>
                    </w:rPr>
                  </w:pPr>
                  <w:r>
                    <w:rPr>
                      <w:rFonts w:hint="eastAsia"/>
                      <w:color w:val="auto"/>
                      <w:lang w:eastAsia="zh-CN"/>
                    </w:rPr>
                    <w:t>机油</w:t>
                  </w:r>
                  <w:r>
                    <w:rPr>
                      <w:color w:val="auto"/>
                    </w:rPr>
                    <w:t>泄漏</w:t>
                  </w:r>
                </w:p>
              </w:tc>
              <w:tc>
                <w:tcPr>
                  <w:tcW w:w="3759" w:type="pct"/>
                  <w:noWrap w:val="0"/>
                  <w:vAlign w:val="center"/>
                </w:tcPr>
                <w:p>
                  <w:pPr>
                    <w:snapToGrid w:val="0"/>
                    <w:rPr>
                      <w:color w:val="auto"/>
                    </w:rPr>
                  </w:pPr>
                  <w:r>
                    <w:rPr>
                      <w:color w:val="auto"/>
                    </w:rPr>
                    <w:t>厂区储存量小，泄露的</w:t>
                  </w:r>
                  <w:r>
                    <w:rPr>
                      <w:rFonts w:hint="eastAsia"/>
                      <w:color w:val="auto"/>
                      <w:lang w:eastAsia="zh-CN"/>
                    </w:rPr>
                    <w:t>机油</w:t>
                  </w:r>
                  <w:r>
                    <w:rPr>
                      <w:color w:val="auto"/>
                    </w:rPr>
                    <w:t>会暂存于</w:t>
                  </w:r>
                  <w:r>
                    <w:rPr>
                      <w:rFonts w:hint="eastAsia"/>
                      <w:color w:val="auto"/>
                    </w:rPr>
                    <w:t>金属托盘</w:t>
                  </w:r>
                  <w:r>
                    <w:rPr>
                      <w:color w:val="auto"/>
                    </w:rPr>
                    <w:t>内</w:t>
                  </w:r>
                  <w:r>
                    <w:rPr>
                      <w:rFonts w:hint="eastAsia"/>
                      <w:color w:val="auto"/>
                    </w:rPr>
                    <w:t>，</w:t>
                  </w:r>
                  <w:r>
                    <w:rPr>
                      <w:color w:val="auto"/>
                    </w:rPr>
                    <w:t>收集后可回用</w:t>
                  </w:r>
                  <w:r>
                    <w:rPr>
                      <w:rFonts w:hint="eastAsia"/>
                      <w:color w:val="auto"/>
                    </w:rPr>
                    <w:t>；</w:t>
                  </w:r>
                  <w:r>
                    <w:rPr>
                      <w:color w:val="auto"/>
                    </w:rPr>
                    <w:t>液体化学品采用专用密闭容器，</w:t>
                  </w:r>
                  <w:r>
                    <w:rPr>
                      <w:rFonts w:hint="eastAsia"/>
                      <w:color w:val="auto"/>
                    </w:rPr>
                    <w:t>存放</w:t>
                  </w:r>
                  <w:r>
                    <w:rPr>
                      <w:color w:val="auto"/>
                    </w:rPr>
                    <w:t>于防渗托盘内，</w:t>
                  </w:r>
                  <w:r>
                    <w:rPr>
                      <w:rFonts w:hint="eastAsia"/>
                      <w:color w:val="auto"/>
                    </w:rPr>
                    <w:t>泄露</w:t>
                  </w:r>
                  <w:r>
                    <w:rPr>
                      <w:color w:val="auto"/>
                    </w:rPr>
                    <w:t>风险低，</w:t>
                  </w:r>
                  <w:r>
                    <w:rPr>
                      <w:rFonts w:hint="eastAsia"/>
                      <w:color w:val="auto"/>
                    </w:rPr>
                    <w:t>如有泄露</w:t>
                  </w:r>
                  <w:r>
                    <w:rPr>
                      <w:color w:val="auto"/>
                    </w:rPr>
                    <w:t>后</w:t>
                  </w:r>
                  <w:r>
                    <w:rPr>
                      <w:rFonts w:hint="eastAsia"/>
                      <w:color w:val="auto"/>
                    </w:rPr>
                    <w:t>作为</w:t>
                  </w:r>
                  <w:r>
                    <w:rPr>
                      <w:color w:val="auto"/>
                    </w:rPr>
                    <w:t>危废</w:t>
                  </w:r>
                  <w:r>
                    <w:rPr>
                      <w:rFonts w:hint="eastAsia"/>
                      <w:color w:val="auto"/>
                    </w:rPr>
                    <w:t>处置</w:t>
                  </w:r>
                  <w:r>
                    <w:rPr>
                      <w:color w:val="auto"/>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4" w:type="pct"/>
                  <w:noWrap w:val="0"/>
                  <w:vAlign w:val="center"/>
                </w:tcPr>
                <w:p>
                  <w:pPr>
                    <w:snapToGrid w:val="0"/>
                    <w:jc w:val="center"/>
                    <w:rPr>
                      <w:color w:val="auto"/>
                    </w:rPr>
                  </w:pPr>
                  <w:r>
                    <w:rPr>
                      <w:color w:val="auto"/>
                    </w:rPr>
                    <w:t>2</w:t>
                  </w:r>
                </w:p>
              </w:tc>
              <w:tc>
                <w:tcPr>
                  <w:tcW w:w="796" w:type="pct"/>
                  <w:noWrap w:val="0"/>
                  <w:vAlign w:val="center"/>
                </w:tcPr>
                <w:p>
                  <w:pPr>
                    <w:snapToGrid w:val="0"/>
                    <w:jc w:val="center"/>
                    <w:rPr>
                      <w:color w:val="auto"/>
                    </w:rPr>
                  </w:pPr>
                  <w:r>
                    <w:rPr>
                      <w:color w:val="auto"/>
                    </w:rPr>
                    <w:t>火灾</w:t>
                  </w:r>
                </w:p>
              </w:tc>
              <w:tc>
                <w:tcPr>
                  <w:tcW w:w="3759" w:type="pct"/>
                  <w:noWrap w:val="0"/>
                  <w:vAlign w:val="center"/>
                </w:tcPr>
                <w:p>
                  <w:pPr>
                    <w:snapToGrid w:val="0"/>
                    <w:rPr>
                      <w:b/>
                      <w:bCs/>
                      <w:color w:val="auto"/>
                    </w:rPr>
                  </w:pPr>
                  <w:r>
                    <w:rPr>
                      <w:rFonts w:hint="eastAsia"/>
                      <w:color w:val="auto"/>
                    </w:rPr>
                    <w:t>①</w:t>
                  </w:r>
                  <w:r>
                    <w:rPr>
                      <w:color w:val="auto"/>
                    </w:rPr>
                    <w:t>若车间线路发生火灾，首先应用水对着火点进行喷水，然后将液态原材料暂存区内的</w:t>
                  </w:r>
                  <w:r>
                    <w:rPr>
                      <w:rFonts w:hint="eastAsia"/>
                      <w:color w:val="auto"/>
                      <w:lang w:eastAsia="zh-CN"/>
                    </w:rPr>
                    <w:t>机油</w:t>
                  </w:r>
                  <w:r>
                    <w:rPr>
                      <w:color w:val="auto"/>
                    </w:rPr>
                    <w:t>迅速搬离着火区</w:t>
                  </w:r>
                  <w:r>
                    <w:rPr>
                      <w:b/>
                      <w:bCs/>
                      <w:color w:val="auto"/>
                    </w:rPr>
                    <w:t>；</w:t>
                  </w:r>
                </w:p>
                <w:p>
                  <w:pPr>
                    <w:snapToGrid w:val="0"/>
                    <w:rPr>
                      <w:b/>
                      <w:bCs/>
                      <w:snapToGrid w:val="0"/>
                      <w:color w:val="auto"/>
                      <w:kern w:val="0"/>
                    </w:rPr>
                  </w:pPr>
                  <w:r>
                    <w:rPr>
                      <w:rFonts w:hint="eastAsia"/>
                      <w:color w:val="auto"/>
                    </w:rPr>
                    <w:t>②</w:t>
                  </w:r>
                  <w:r>
                    <w:rPr>
                      <w:color w:val="auto"/>
                    </w:rPr>
                    <w:t>若</w:t>
                  </w:r>
                  <w:r>
                    <w:rPr>
                      <w:rFonts w:hint="eastAsia"/>
                      <w:color w:val="auto"/>
                      <w:lang w:eastAsia="zh-CN"/>
                    </w:rPr>
                    <w:t>机油</w:t>
                  </w:r>
                  <w:r>
                    <w:rPr>
                      <w:rFonts w:hint="eastAsia"/>
                      <w:color w:val="auto"/>
                    </w:rPr>
                    <w:t>使用及贮存过程中</w:t>
                  </w:r>
                  <w:r>
                    <w:rPr>
                      <w:color w:val="auto"/>
                    </w:rPr>
                    <w:t>出现火灾，</w:t>
                  </w:r>
                  <w:r>
                    <w:rPr>
                      <w:rFonts w:hint="eastAsia"/>
                      <w:color w:val="auto"/>
                    </w:rPr>
                    <w:t>应</w:t>
                  </w:r>
                  <w:r>
                    <w:rPr>
                      <w:color w:val="auto"/>
                    </w:rPr>
                    <w:t>使用</w:t>
                  </w:r>
                  <w:r>
                    <w:rPr>
                      <w:rFonts w:hint="eastAsia"/>
                      <w:color w:val="auto"/>
                    </w:rPr>
                    <w:t>干</w:t>
                  </w:r>
                  <w:r>
                    <w:rPr>
                      <w:color w:val="auto"/>
                    </w:rPr>
                    <w:t>粉</w:t>
                  </w:r>
                  <w:r>
                    <w:rPr>
                      <w:rFonts w:hint="eastAsia"/>
                      <w:color w:val="auto"/>
                    </w:rPr>
                    <w:t>灭火器</w:t>
                  </w:r>
                  <w:r>
                    <w:rPr>
                      <w:color w:val="auto"/>
                    </w:rPr>
                    <w:t>进行灭火。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4" w:type="pct"/>
                  <w:noWrap w:val="0"/>
                  <w:vAlign w:val="center"/>
                </w:tcPr>
                <w:p>
                  <w:pPr>
                    <w:snapToGrid w:val="0"/>
                    <w:jc w:val="center"/>
                    <w:rPr>
                      <w:color w:val="auto"/>
                    </w:rPr>
                  </w:pPr>
                  <w:r>
                    <w:rPr>
                      <w:color w:val="auto"/>
                    </w:rPr>
                    <w:t>3</w:t>
                  </w:r>
                </w:p>
              </w:tc>
              <w:tc>
                <w:tcPr>
                  <w:tcW w:w="796" w:type="pct"/>
                  <w:noWrap w:val="0"/>
                  <w:vAlign w:val="center"/>
                </w:tcPr>
                <w:p>
                  <w:pPr>
                    <w:snapToGrid w:val="0"/>
                    <w:jc w:val="center"/>
                    <w:rPr>
                      <w:color w:val="auto"/>
                    </w:rPr>
                  </w:pPr>
                  <w:r>
                    <w:rPr>
                      <w:rFonts w:hint="eastAsia"/>
                      <w:color w:val="auto"/>
                    </w:rPr>
                    <w:t>有机废气</w:t>
                  </w:r>
                  <w:r>
                    <w:rPr>
                      <w:color w:val="auto"/>
                    </w:rPr>
                    <w:t>事故排放</w:t>
                  </w:r>
                </w:p>
              </w:tc>
              <w:tc>
                <w:tcPr>
                  <w:tcW w:w="3759" w:type="pct"/>
                  <w:noWrap w:val="0"/>
                  <w:vAlign w:val="center"/>
                </w:tcPr>
                <w:p>
                  <w:pPr>
                    <w:snapToGrid w:val="0"/>
                    <w:rPr>
                      <w:color w:val="auto"/>
                    </w:rPr>
                  </w:pPr>
                  <w:r>
                    <w:rPr>
                      <w:color w:val="auto"/>
                    </w:rPr>
                    <w:t>一旦发现</w:t>
                  </w:r>
                  <w:r>
                    <w:rPr>
                      <w:rFonts w:hint="eastAsia"/>
                      <w:color w:val="auto"/>
                    </w:rPr>
                    <w:t>有机废气</w:t>
                  </w:r>
                  <w:r>
                    <w:rPr>
                      <w:color w:val="auto"/>
                    </w:rPr>
                    <w:t>事故排放，应立即停止生产，然后对</w:t>
                  </w:r>
                  <w:r>
                    <w:rPr>
                      <w:rFonts w:hint="eastAsia"/>
                      <w:color w:val="auto"/>
                    </w:rPr>
                    <w:t>有机废气</w:t>
                  </w:r>
                  <w:r>
                    <w:rPr>
                      <w:color w:val="auto"/>
                    </w:rPr>
                    <w:t>处理装置进行抢修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4" w:type="pct"/>
                  <w:noWrap w:val="0"/>
                  <w:vAlign w:val="center"/>
                </w:tcPr>
                <w:p>
                  <w:pPr>
                    <w:snapToGrid w:val="0"/>
                    <w:jc w:val="center"/>
                    <w:rPr>
                      <w:rFonts w:hint="eastAsia" w:eastAsia="宋体"/>
                      <w:color w:val="auto"/>
                      <w:lang w:val="en-US" w:eastAsia="zh-CN"/>
                    </w:rPr>
                  </w:pPr>
                  <w:r>
                    <w:rPr>
                      <w:rFonts w:hint="eastAsia"/>
                      <w:color w:val="auto"/>
                      <w:lang w:val="en-US" w:eastAsia="zh-CN"/>
                    </w:rPr>
                    <w:t>4</w:t>
                  </w:r>
                </w:p>
              </w:tc>
              <w:tc>
                <w:tcPr>
                  <w:tcW w:w="1126" w:type="dxa"/>
                  <w:noWrap w:val="0"/>
                  <w:vAlign w:val="center"/>
                </w:tcPr>
                <w:p>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eastAsia"/>
                      <w:color w:val="auto"/>
                    </w:rPr>
                  </w:pPr>
                  <w:r>
                    <w:rPr>
                      <w:rFonts w:hint="eastAsia"/>
                      <w:color w:val="auto"/>
                      <w:lang w:eastAsia="zh-CN"/>
                    </w:rPr>
                    <w:t>污水泄露事故</w:t>
                  </w:r>
                </w:p>
              </w:tc>
              <w:tc>
                <w:tcPr>
                  <w:tcW w:w="5319" w:type="dxa"/>
                  <w:noWrap w:val="0"/>
                  <w:vAlign w:val="center"/>
                </w:tcPr>
                <w:p>
                  <w:pPr>
                    <w:tabs>
                      <w:tab w:val="left" w:pos="1440"/>
                      <w:tab w:val="left" w:pos="1800"/>
                    </w:tabs>
                    <w:adjustRightInd w:val="0"/>
                    <w:snapToGrid w:val="0"/>
                    <w:spacing w:line="240" w:lineRule="auto"/>
                    <w:rPr>
                      <w:rFonts w:hint="eastAsia"/>
                      <w:color w:val="auto"/>
                      <w:sz w:val="21"/>
                      <w:szCs w:val="21"/>
                    </w:rPr>
                  </w:pPr>
                  <w:r>
                    <w:rPr>
                      <w:rFonts w:hint="eastAsia"/>
                      <w:color w:val="auto"/>
                      <w:sz w:val="21"/>
                      <w:szCs w:val="21"/>
                    </w:rPr>
                    <w:t>项目废水处理系统主要设备和关键设备都配备了备用设备，一旦设备出现故障或出水水质不稳定立即更换处理设备。电源配备双电源，应急电源能在断电后 20 秒内启动，确保设备不断电。</w:t>
                  </w:r>
                </w:p>
                <w:p>
                  <w:pPr>
                    <w:tabs>
                      <w:tab w:val="left" w:pos="1440"/>
                      <w:tab w:val="left" w:pos="1800"/>
                    </w:tabs>
                    <w:adjustRightInd w:val="0"/>
                    <w:snapToGrid w:val="0"/>
                    <w:spacing w:line="240" w:lineRule="auto"/>
                    <w:rPr>
                      <w:color w:val="auto"/>
                    </w:rPr>
                  </w:pPr>
                  <w:r>
                    <w:rPr>
                      <w:rFonts w:hint="eastAsia"/>
                      <w:color w:val="auto"/>
                      <w:sz w:val="21"/>
                      <w:szCs w:val="21"/>
                    </w:rPr>
                    <w:t>污水处理站发生事故停运时，应将污水立即引入污水处理站事故应急池暂存，并对污水处理站进行紧急抢修，必要时安排吸污车将污水外运处理，确保污水不外排。</w:t>
                  </w:r>
                </w:p>
              </w:tc>
            </w:tr>
          </w:tbl>
          <w:p>
            <w:pPr>
              <w:pStyle w:val="19"/>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1" w:type="dxa"/>
            <w:noWrap w:val="0"/>
            <w:vAlign w:val="center"/>
          </w:tcPr>
          <w:p>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其他环境</w:t>
            </w:r>
          </w:p>
          <w:p>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管理要求</w:t>
            </w:r>
          </w:p>
        </w:tc>
        <w:tc>
          <w:tcPr>
            <w:tcW w:w="7289" w:type="dxa"/>
            <w:gridSpan w:val="4"/>
            <w:noWrap w:val="0"/>
            <w:vAlign w:val="center"/>
          </w:tcPr>
          <w:p>
            <w:pPr>
              <w:adjustRightInd w:val="0"/>
              <w:snapToGrid w:val="0"/>
              <w:jc w:val="left"/>
              <w:rPr>
                <w:color w:val="auto"/>
                <w:sz w:val="21"/>
                <w:szCs w:val="21"/>
              </w:rPr>
            </w:pPr>
            <w:r>
              <w:rPr>
                <w:rFonts w:hint="eastAsia"/>
                <w:color w:val="auto"/>
                <w:sz w:val="21"/>
                <w:szCs w:val="21"/>
              </w:rPr>
              <w:t>①企业加强管理，对厂区进行分区分类规范管理，定期开展环保培训，强化员工环保意识，切实提高企业环境管理水平。</w:t>
            </w:r>
          </w:p>
          <w:p>
            <w:pPr>
              <w:pStyle w:val="10"/>
              <w:spacing w:line="240" w:lineRule="auto"/>
              <w:rPr>
                <w:rFonts w:ascii="宋体" w:hAnsi="宋体" w:cs="宋体"/>
                <w:color w:val="auto"/>
                <w:sz w:val="21"/>
                <w:szCs w:val="21"/>
              </w:rPr>
            </w:pPr>
            <w:r>
              <w:rPr>
                <w:rFonts w:hint="eastAsia" w:ascii="宋体" w:hAnsi="宋体" w:cs="宋体"/>
                <w:color w:val="auto"/>
                <w:sz w:val="21"/>
                <w:szCs w:val="21"/>
              </w:rPr>
              <w:t>②完善环境监控职责，定期对厂区内废气、废水、噪声进行污染源监测。</w:t>
            </w:r>
          </w:p>
          <w:p>
            <w:pPr>
              <w:pStyle w:val="10"/>
              <w:spacing w:line="240" w:lineRule="auto"/>
              <w:rPr>
                <w:color w:val="auto"/>
              </w:rPr>
            </w:pPr>
            <w:r>
              <w:rPr>
                <w:rFonts w:hint="eastAsia" w:ascii="宋体" w:hAnsi="宋体" w:cs="宋体"/>
                <w:color w:val="auto"/>
                <w:sz w:val="21"/>
                <w:szCs w:val="21"/>
              </w:rPr>
              <w:t>③完善危废转运台账，环保设施运行台账。</w:t>
            </w:r>
          </w:p>
        </w:tc>
      </w:tr>
    </w:tbl>
    <w:p>
      <w:pPr>
        <w:pStyle w:val="25"/>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pStyle w:val="78"/>
              <w:widowControl w:val="0"/>
              <w:spacing w:before="0" w:beforeLines="0" w:after="0" w:afterLines="0"/>
              <w:ind w:firstLine="480"/>
              <w:rPr>
                <w:rFonts w:hint="eastAsia"/>
                <w:b/>
                <w:color w:val="auto"/>
                <w:sz w:val="24"/>
                <w:szCs w:val="24"/>
              </w:rPr>
            </w:pPr>
            <w:r>
              <w:rPr>
                <w:bCs/>
                <w:color w:val="auto"/>
                <w:sz w:val="24"/>
                <w:szCs w:val="24"/>
              </w:rPr>
              <w:t>综上所述，</w:t>
            </w:r>
            <w:r>
              <w:rPr>
                <w:rFonts w:hint="eastAsia"/>
                <w:bCs/>
                <w:color w:val="auto"/>
                <w:sz w:val="24"/>
                <w:szCs w:val="24"/>
              </w:rPr>
              <w:t>本项目建设符合国家政策要求，厂址符合</w:t>
            </w:r>
            <w:r>
              <w:rPr>
                <w:rFonts w:hint="eastAsia" w:ascii="Times New Roman" w:hAnsi="Times New Roman"/>
                <w:bCs/>
                <w:color w:val="auto"/>
                <w:sz w:val="24"/>
                <w:szCs w:val="24"/>
              </w:rPr>
              <w:t>乐山市犍为县舞雩镇石马坝工业园区</w:t>
            </w:r>
            <w:r>
              <w:rPr>
                <w:rFonts w:hint="eastAsia"/>
                <w:bCs/>
                <w:color w:val="auto"/>
                <w:sz w:val="24"/>
                <w:szCs w:val="24"/>
              </w:rPr>
              <w:t>规划，选址合理。</w:t>
            </w:r>
            <w:r>
              <w:rPr>
                <w:bCs/>
                <w:color w:val="auto"/>
                <w:sz w:val="24"/>
                <w:szCs w:val="24"/>
              </w:rPr>
              <w:t>项目采取的污染防治措施有效可行；产生的废水、废气、噪声能够达标排放，固体废物得到合理有效处置；污染物排放满足总量控制要求，环境风险可以接受，因此，在项目</w:t>
            </w:r>
            <w:r>
              <w:rPr>
                <w:rFonts w:hint="eastAsia"/>
                <w:bCs/>
                <w:color w:val="auto"/>
                <w:sz w:val="24"/>
                <w:szCs w:val="24"/>
              </w:rPr>
              <w:t>在</w:t>
            </w:r>
            <w:r>
              <w:rPr>
                <w:bCs/>
                <w:color w:val="auto"/>
                <w:sz w:val="24"/>
                <w:szCs w:val="24"/>
              </w:rPr>
              <w:t>营运期有效落实</w:t>
            </w:r>
            <w:r>
              <w:rPr>
                <w:rFonts w:hint="eastAsia"/>
                <w:bCs/>
                <w:color w:val="auto"/>
                <w:sz w:val="24"/>
                <w:szCs w:val="24"/>
              </w:rPr>
              <w:t>本次</w:t>
            </w:r>
            <w:r>
              <w:rPr>
                <w:bCs/>
                <w:color w:val="auto"/>
                <w:sz w:val="24"/>
                <w:szCs w:val="24"/>
              </w:rPr>
              <w:t>环评中各项污染防治措施的基础上，</w:t>
            </w:r>
            <w:r>
              <w:rPr>
                <w:rFonts w:hint="eastAsia"/>
                <w:bCs/>
                <w:color w:val="auto"/>
                <w:sz w:val="24"/>
                <w:szCs w:val="24"/>
              </w:rPr>
              <w:t>保证环保</w:t>
            </w:r>
            <w:r>
              <w:rPr>
                <w:bCs/>
                <w:color w:val="auto"/>
                <w:sz w:val="24"/>
                <w:szCs w:val="24"/>
              </w:rPr>
              <w:t>措施正常运行，从环境保护角度分析，该项目的建设可行。</w:t>
            </w:r>
          </w:p>
          <w:p>
            <w:pPr>
              <w:spacing w:line="360" w:lineRule="auto"/>
              <w:rPr>
                <w:rFonts w:ascii="宋体" w:cs="宋体"/>
                <w:color w:val="auto"/>
                <w:sz w:val="24"/>
              </w:rPr>
            </w:pP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5"/>
        <w:adjustRightInd w:val="0"/>
        <w:snapToGrid w:val="0"/>
        <w:spacing w:before="0" w:beforeAutospacing="0" w:after="0" w:afterAutospacing="0"/>
        <w:outlineLvl w:val="0"/>
        <w:rPr>
          <w:rFonts w:hint="eastAsia"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25"/>
        <w:adjustRightInd w:val="0"/>
        <w:snapToGrid w:val="0"/>
        <w:spacing w:before="0" w:beforeAutospacing="0" w:after="0" w:afterAutospacing="0"/>
        <w:jc w:val="center"/>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839"/>
        <w:gridCol w:w="1701"/>
        <w:gridCol w:w="1276"/>
        <w:gridCol w:w="1701"/>
        <w:gridCol w:w="1559"/>
        <w:gridCol w:w="1761"/>
        <w:gridCol w:w="1608"/>
        <w:gridCol w:w="11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166" w:type="dxa"/>
            <w:tcBorders>
              <w:tl2br w:val="single" w:color="auto" w:sz="4" w:space="0"/>
            </w:tcBorders>
            <w:noWrap w:val="0"/>
            <w:tcMar>
              <w:left w:w="28" w:type="dxa"/>
              <w:right w:w="28" w:type="dxa"/>
            </w:tcMar>
            <w:vAlign w:val="center"/>
          </w:tcPr>
          <w:p>
            <w:pPr>
              <w:pStyle w:val="59"/>
              <w:spacing w:beforeLines="0" w:afterLines="0" w:line="240" w:lineRule="auto"/>
              <w:jc w:val="righ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pPr>
              <w:pStyle w:val="59"/>
              <w:spacing w:beforeLines="0" w:afterLines="0" w:line="240" w:lineRule="auto"/>
              <w:jc w:val="lef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1839" w:type="dxa"/>
            <w:noWrap w:val="0"/>
            <w:tcMar>
              <w:left w:w="28" w:type="dxa"/>
              <w:right w:w="28" w:type="dxa"/>
            </w:tcMar>
            <w:vAlign w:val="center"/>
          </w:tcPr>
          <w:p>
            <w:pPr>
              <w:pStyle w:val="59"/>
              <w:spacing w:beforeLines="0" w:afterLines="0" w:line="240" w:lineRule="auto"/>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1701" w:type="dxa"/>
            <w:noWrap w:val="0"/>
            <w:tcMar>
              <w:left w:w="28" w:type="dxa"/>
              <w:right w:w="28" w:type="dxa"/>
            </w:tcMar>
            <w:vAlign w:val="center"/>
          </w:tcPr>
          <w:p>
            <w:pPr>
              <w:pStyle w:val="59"/>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pPr>
              <w:pStyle w:val="59"/>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r>
              <w:rPr>
                <w:rFonts w:hint="eastAsia" w:ascii="黑体" w:hAnsi="黑体" w:eastAsia="黑体"/>
                <w:snapToGrid w:val="0"/>
                <w:color w:val="auto"/>
                <w:spacing w:val="-6"/>
                <w:kern w:val="21"/>
                <w:szCs w:val="21"/>
              </w:rPr>
              <w:t>（吨/年）</w:t>
            </w:r>
          </w:p>
        </w:tc>
        <w:tc>
          <w:tcPr>
            <w:tcW w:w="1276" w:type="dxa"/>
            <w:noWrap w:val="0"/>
            <w:tcMar>
              <w:left w:w="28" w:type="dxa"/>
              <w:right w:w="28" w:type="dxa"/>
            </w:tcMar>
            <w:vAlign w:val="center"/>
          </w:tcPr>
          <w:p>
            <w:pPr>
              <w:pStyle w:val="5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pPr>
              <w:pStyle w:val="5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pPr>
              <w:pStyle w:val="59"/>
              <w:spacing w:beforeLines="0" w:afterLine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r>
              <w:rPr>
                <w:rFonts w:hint="eastAsia" w:ascii="黑体" w:hAnsi="黑体" w:eastAsia="黑体"/>
                <w:snapToGrid w:val="0"/>
                <w:color w:val="auto"/>
                <w:spacing w:val="-6"/>
                <w:kern w:val="21"/>
                <w:szCs w:val="21"/>
              </w:rPr>
              <w:t>（吨/年）</w:t>
            </w:r>
          </w:p>
        </w:tc>
        <w:tc>
          <w:tcPr>
            <w:tcW w:w="1701" w:type="dxa"/>
            <w:noWrap w:val="0"/>
            <w:tcMar>
              <w:left w:w="28" w:type="dxa"/>
              <w:right w:w="28" w:type="dxa"/>
            </w:tcMar>
            <w:vAlign w:val="center"/>
          </w:tcPr>
          <w:p>
            <w:pPr>
              <w:pStyle w:val="59"/>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pPr>
              <w:pStyle w:val="5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r>
              <w:rPr>
                <w:rFonts w:hint="eastAsia" w:ascii="黑体" w:hAnsi="黑体" w:eastAsia="黑体"/>
                <w:snapToGrid w:val="0"/>
                <w:color w:val="auto"/>
                <w:spacing w:val="-6"/>
                <w:kern w:val="21"/>
                <w:szCs w:val="21"/>
              </w:rPr>
              <w:t>（吨/年）</w:t>
            </w:r>
          </w:p>
        </w:tc>
        <w:tc>
          <w:tcPr>
            <w:tcW w:w="1559" w:type="dxa"/>
            <w:noWrap w:val="0"/>
            <w:tcMar>
              <w:left w:w="28" w:type="dxa"/>
              <w:right w:w="28" w:type="dxa"/>
            </w:tcMar>
            <w:vAlign w:val="center"/>
          </w:tcPr>
          <w:p>
            <w:pPr>
              <w:pStyle w:val="59"/>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pPr>
              <w:pStyle w:val="5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r>
              <w:rPr>
                <w:rFonts w:hint="eastAsia" w:ascii="黑体" w:hAnsi="黑体" w:eastAsia="黑体"/>
                <w:snapToGrid w:val="0"/>
                <w:color w:val="auto"/>
                <w:spacing w:val="-6"/>
                <w:kern w:val="21"/>
                <w:szCs w:val="21"/>
              </w:rPr>
              <w:t>（吨/年）</w:t>
            </w:r>
          </w:p>
        </w:tc>
        <w:tc>
          <w:tcPr>
            <w:tcW w:w="1761" w:type="dxa"/>
            <w:noWrap w:val="0"/>
            <w:tcMar>
              <w:left w:w="28" w:type="dxa"/>
              <w:right w:w="28" w:type="dxa"/>
            </w:tcMar>
            <w:vAlign w:val="center"/>
          </w:tcPr>
          <w:p>
            <w:pPr>
              <w:pStyle w:val="59"/>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pPr>
              <w:pStyle w:val="59"/>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r>
              <w:rPr>
                <w:rFonts w:hint="eastAsia" w:ascii="黑体" w:hAnsi="黑体" w:eastAsia="黑体"/>
                <w:snapToGrid w:val="0"/>
                <w:color w:val="auto"/>
                <w:spacing w:val="-6"/>
                <w:kern w:val="21"/>
                <w:szCs w:val="21"/>
              </w:rPr>
              <w:t>（吨/年）</w:t>
            </w:r>
          </w:p>
        </w:tc>
        <w:tc>
          <w:tcPr>
            <w:tcW w:w="1608" w:type="dxa"/>
            <w:noWrap w:val="0"/>
            <w:tcMar>
              <w:left w:w="28" w:type="dxa"/>
              <w:right w:w="28" w:type="dxa"/>
            </w:tcMar>
            <w:vAlign w:val="center"/>
          </w:tcPr>
          <w:p>
            <w:pPr>
              <w:pStyle w:val="59"/>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pPr>
              <w:pStyle w:val="59"/>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r>
              <w:rPr>
                <w:rFonts w:hint="eastAsia" w:ascii="黑体" w:hAnsi="黑体" w:eastAsia="黑体"/>
                <w:snapToGrid w:val="0"/>
                <w:color w:val="auto"/>
                <w:spacing w:val="-6"/>
                <w:kern w:val="21"/>
                <w:szCs w:val="21"/>
              </w:rPr>
              <w:t>（吨/年）</w:t>
            </w:r>
          </w:p>
        </w:tc>
        <w:tc>
          <w:tcPr>
            <w:tcW w:w="1177" w:type="dxa"/>
            <w:noWrap w:val="0"/>
            <w:tcMar>
              <w:left w:w="28" w:type="dxa"/>
              <w:right w:w="28" w:type="dxa"/>
            </w:tcMar>
            <w:vAlign w:val="center"/>
          </w:tcPr>
          <w:p>
            <w:pPr>
              <w:pStyle w:val="5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pPr>
              <w:pStyle w:val="5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r>
              <w:rPr>
                <w:rFonts w:hint="eastAsia" w:ascii="黑体" w:hAnsi="黑体" w:eastAsia="黑体"/>
                <w:snapToGrid w:val="0"/>
                <w:color w:val="auto"/>
                <w:spacing w:val="-6"/>
                <w:kern w:val="21"/>
                <w:szCs w:val="21"/>
              </w:rPr>
              <w:t>（吨/年）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66" w:type="dxa"/>
            <w:vMerge w:val="restart"/>
            <w:noWrap w:val="0"/>
            <w:vAlign w:val="center"/>
          </w:tcPr>
          <w:p>
            <w:pPr>
              <w:pStyle w:val="59"/>
              <w:spacing w:beforeLines="0" w:afterLines="0" w:line="240" w:lineRule="auto"/>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废气</w:t>
            </w:r>
          </w:p>
        </w:tc>
        <w:tc>
          <w:tcPr>
            <w:tcW w:w="1839" w:type="dxa"/>
            <w:noWrap w:val="0"/>
            <w:vAlign w:val="center"/>
          </w:tcPr>
          <w:p>
            <w:pPr>
              <w:pStyle w:val="5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非甲烷总烃</w:t>
            </w:r>
          </w:p>
        </w:tc>
        <w:tc>
          <w:tcPr>
            <w:tcW w:w="1701" w:type="dxa"/>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楷体_GB2312" w:cs="宋体"/>
                <w:bCs/>
                <w:color w:val="auto"/>
                <w:spacing w:val="-2"/>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1.71</w:t>
            </w:r>
          </w:p>
        </w:tc>
        <w:tc>
          <w:tcPr>
            <w:tcW w:w="1276" w:type="dxa"/>
            <w:noWrap w:val="0"/>
            <w:vAlign w:val="center"/>
          </w:tcPr>
          <w:p>
            <w:pPr>
              <w:pStyle w:val="2"/>
              <w:adjustRightInd/>
              <w:spacing w:before="0" w:line="240" w:lineRule="auto"/>
              <w:ind w:left="0" w:leftChars="0" w:right="0" w:rightChars="0" w:firstLine="0" w:firstLineChars="0"/>
              <w:jc w:val="center"/>
              <w:textAlignment w:val="auto"/>
              <w:rPr>
                <w:rFonts w:hint="eastAsia" w:ascii="Times New Roman" w:hAnsi="Times New Roman" w:eastAsia="宋体" w:cs="宋体"/>
                <w:bCs/>
                <w:color w:val="auto"/>
                <w:spacing w:val="-2"/>
                <w:kern w:val="0"/>
                <w:sz w:val="21"/>
                <w:szCs w:val="21"/>
                <w:lang w:val="en-US" w:eastAsia="zh-CN" w:bidi="ar-SA"/>
              </w:rPr>
            </w:pPr>
            <w:r>
              <w:rPr>
                <w:rFonts w:hint="eastAsia" w:ascii="Times New Roman" w:hAnsi="Times New Roman" w:eastAsia="宋体"/>
                <w:bCs/>
                <w:color w:val="auto"/>
                <w:sz w:val="21"/>
                <w:szCs w:val="21"/>
                <w:lang w:val="en-US" w:eastAsia="zh-CN"/>
              </w:rPr>
              <w:t>/</w:t>
            </w:r>
          </w:p>
        </w:tc>
        <w:tc>
          <w:tcPr>
            <w:tcW w:w="1701" w:type="dxa"/>
            <w:noWrap w:val="0"/>
            <w:vAlign w:val="center"/>
          </w:tcPr>
          <w:p>
            <w:pPr>
              <w:pStyle w:val="47"/>
              <w:jc w:val="center"/>
              <w:rPr>
                <w:rFonts w:hint="eastAsia" w:ascii="Times New Roman" w:hAnsi="Times New Roman" w:eastAsia="宋体"/>
                <w:snapToGrid w:val="0"/>
                <w:color w:val="auto"/>
                <w:kern w:val="21"/>
                <w:szCs w:val="21"/>
                <w:lang w:eastAsia="zh-CN"/>
              </w:rPr>
            </w:pPr>
            <w:r>
              <w:rPr>
                <w:rFonts w:hint="eastAsia"/>
                <w:color w:val="auto"/>
                <w:lang w:val="en-US" w:eastAsia="zh-CN"/>
              </w:rPr>
              <w:t>/</w:t>
            </w:r>
          </w:p>
        </w:tc>
        <w:tc>
          <w:tcPr>
            <w:tcW w:w="1559" w:type="dxa"/>
            <w:noWrap w:val="0"/>
            <w:vAlign w:val="center"/>
          </w:tcPr>
          <w:p>
            <w:pPr>
              <w:pStyle w:val="47"/>
              <w:jc w:val="center"/>
              <w:rPr>
                <w:rFonts w:hint="eastAsia" w:eastAsia="宋体"/>
                <w:color w:val="auto"/>
                <w:szCs w:val="21"/>
                <w:lang w:eastAsia="zh-CN"/>
              </w:rPr>
            </w:pPr>
            <w:r>
              <w:rPr>
                <w:rFonts w:hint="eastAsia"/>
                <w:color w:val="auto"/>
                <w:lang w:val="en-US" w:eastAsia="zh-CN"/>
              </w:rPr>
              <w:t>0</w:t>
            </w:r>
          </w:p>
        </w:tc>
        <w:tc>
          <w:tcPr>
            <w:tcW w:w="1761" w:type="dxa"/>
            <w:noWrap w:val="0"/>
            <w:vAlign w:val="center"/>
          </w:tcPr>
          <w:p>
            <w:pPr>
              <w:pStyle w:val="47"/>
              <w:jc w:val="center"/>
              <w:rPr>
                <w:rFonts w:hint="default" w:eastAsia="宋体"/>
                <w:snapToGrid w:val="0"/>
                <w:color w:val="auto"/>
                <w:kern w:val="21"/>
                <w:szCs w:val="21"/>
                <w:lang w:val="en-US" w:eastAsia="zh-CN"/>
              </w:rPr>
            </w:pPr>
            <w:r>
              <w:rPr>
                <w:rFonts w:hint="eastAsia"/>
                <w:color w:val="auto"/>
              </w:rPr>
              <w:t>-</w:t>
            </w:r>
            <w:r>
              <w:rPr>
                <w:rFonts w:hint="eastAsia"/>
                <w:color w:val="auto"/>
                <w:lang w:val="en-US" w:eastAsia="zh-CN"/>
              </w:rPr>
              <w:t>1.089</w:t>
            </w:r>
          </w:p>
        </w:tc>
        <w:tc>
          <w:tcPr>
            <w:tcW w:w="1608" w:type="dxa"/>
            <w:noWrap w:val="0"/>
            <w:vAlign w:val="center"/>
          </w:tcPr>
          <w:p>
            <w:pPr>
              <w:widowControl/>
              <w:jc w:val="center"/>
              <w:rPr>
                <w:rFonts w:hint="default" w:ascii="Times New Roman" w:hAnsi="Times New Roman" w:eastAsia="宋体"/>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0.621</w:t>
            </w:r>
          </w:p>
        </w:tc>
        <w:tc>
          <w:tcPr>
            <w:tcW w:w="1177" w:type="dxa"/>
            <w:noWrap w:val="0"/>
            <w:vAlign w:val="center"/>
          </w:tcPr>
          <w:p>
            <w:pPr>
              <w:pStyle w:val="47"/>
              <w:jc w:val="center"/>
              <w:rPr>
                <w:rFonts w:hint="default" w:eastAsia="宋体"/>
                <w:snapToGrid w:val="0"/>
                <w:color w:val="auto"/>
                <w:kern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pStyle w:val="59"/>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颗粒物</w:t>
            </w:r>
          </w:p>
        </w:tc>
        <w:tc>
          <w:tcPr>
            <w:tcW w:w="1701" w:type="dxa"/>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楷体_GB2312"/>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0.327</w:t>
            </w:r>
          </w:p>
        </w:tc>
        <w:tc>
          <w:tcPr>
            <w:tcW w:w="1276" w:type="dxa"/>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1701" w:type="dxa"/>
            <w:noWrap w:val="0"/>
            <w:vAlign w:val="center"/>
          </w:tcPr>
          <w:p>
            <w:pPr>
              <w:pStyle w:val="47"/>
              <w:jc w:val="center"/>
              <w:rPr>
                <w:rFonts w:hint="eastAsia" w:eastAsia="宋体"/>
                <w:color w:val="auto"/>
                <w:lang w:val="en-US" w:eastAsia="zh-CN"/>
              </w:rPr>
            </w:pPr>
            <w:r>
              <w:rPr>
                <w:rFonts w:hint="eastAsia"/>
                <w:color w:val="auto"/>
                <w:lang w:val="en-US" w:eastAsia="zh-CN"/>
              </w:rPr>
              <w:t>/</w:t>
            </w:r>
          </w:p>
        </w:tc>
        <w:tc>
          <w:tcPr>
            <w:tcW w:w="1559" w:type="dxa"/>
            <w:noWrap w:val="0"/>
            <w:vAlign w:val="center"/>
          </w:tcPr>
          <w:p>
            <w:pPr>
              <w:pStyle w:val="47"/>
              <w:jc w:val="center"/>
              <w:rPr>
                <w:rFonts w:hint="eastAsia" w:eastAsia="宋体"/>
                <w:color w:val="auto"/>
                <w:lang w:val="en-US" w:eastAsia="zh-CN"/>
              </w:rPr>
            </w:pPr>
            <w:r>
              <w:rPr>
                <w:rFonts w:hint="eastAsia"/>
                <w:color w:val="auto"/>
                <w:lang w:val="en-US" w:eastAsia="zh-CN"/>
              </w:rPr>
              <w:t>0</w:t>
            </w:r>
          </w:p>
        </w:tc>
        <w:tc>
          <w:tcPr>
            <w:tcW w:w="1761" w:type="dxa"/>
            <w:noWrap w:val="0"/>
            <w:vAlign w:val="center"/>
          </w:tcPr>
          <w:p>
            <w:pPr>
              <w:pStyle w:val="47"/>
              <w:jc w:val="center"/>
              <w:rPr>
                <w:rFonts w:hint="default" w:eastAsia="宋体"/>
                <w:color w:val="auto"/>
                <w:lang w:val="en-US" w:eastAsia="zh-CN"/>
              </w:rPr>
            </w:pPr>
            <w:r>
              <w:rPr>
                <w:rFonts w:hint="eastAsia"/>
                <w:color w:val="auto"/>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0.22</w:t>
            </w:r>
          </w:p>
        </w:tc>
        <w:tc>
          <w:tcPr>
            <w:tcW w:w="1608" w:type="dxa"/>
            <w:noWrap w:val="0"/>
            <w:vAlign w:val="center"/>
          </w:tcPr>
          <w:p>
            <w:pPr>
              <w:widowControl/>
              <w:jc w:val="center"/>
              <w:rPr>
                <w:rFonts w:hint="default" w:eastAsia="宋体"/>
                <w:color w:val="auto"/>
                <w:lang w:val="en-US" w:eastAsia="zh-CN"/>
              </w:rPr>
            </w:pPr>
            <w:r>
              <w:rPr>
                <w:rFonts w:hint="default" w:ascii="Times New Roman" w:hAnsi="Times New Roman" w:eastAsia="宋体" w:cs="Times New Roman"/>
                <w:color w:val="auto"/>
                <w:sz w:val="21"/>
                <w:szCs w:val="21"/>
                <w:highlight w:val="none"/>
                <w:lang w:val="en-US" w:eastAsia="zh-CN"/>
              </w:rPr>
              <w:t>0.107</w:t>
            </w:r>
          </w:p>
        </w:tc>
        <w:tc>
          <w:tcPr>
            <w:tcW w:w="1177" w:type="dxa"/>
            <w:noWrap w:val="0"/>
            <w:vAlign w:val="center"/>
          </w:tcPr>
          <w:p>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restart"/>
            <w:noWrap w:val="0"/>
            <w:vAlign w:val="center"/>
          </w:tcPr>
          <w:p>
            <w:pPr>
              <w:pStyle w:val="59"/>
              <w:spacing w:beforeLines="0" w:afterLines="0" w:line="240" w:lineRule="auto"/>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废水</w:t>
            </w:r>
          </w:p>
        </w:tc>
        <w:tc>
          <w:tcPr>
            <w:tcW w:w="1839" w:type="dxa"/>
            <w:noWrap w:val="0"/>
            <w:vAlign w:val="center"/>
          </w:tcPr>
          <w:p>
            <w:pPr>
              <w:widowControl/>
              <w:jc w:val="center"/>
              <w:textAlignment w:val="center"/>
              <w:rPr>
                <w:snapToGrid w:val="0"/>
                <w:color w:val="auto"/>
                <w:kern w:val="21"/>
                <w:szCs w:val="21"/>
              </w:rPr>
            </w:pPr>
            <w:r>
              <w:rPr>
                <w:rStyle w:val="52"/>
                <w:rFonts w:hint="default" w:ascii="Times New Roman" w:hAnsi="Times New Roman" w:cs="Times New Roman"/>
                <w:b w:val="0"/>
                <w:bCs w:val="0"/>
                <w:color w:val="auto"/>
                <w:sz w:val="21"/>
                <w:szCs w:val="21"/>
                <w:lang w:bidi="ar"/>
              </w:rPr>
              <w:t>废水量</w:t>
            </w:r>
            <w:r>
              <w:rPr>
                <w:rStyle w:val="61"/>
                <w:b w:val="0"/>
                <w:bCs w:val="0"/>
                <w:color w:val="auto"/>
                <w:sz w:val="21"/>
                <w:szCs w:val="21"/>
                <w:lang w:bidi="ar"/>
              </w:rPr>
              <w:t>(</w:t>
            </w:r>
            <w:r>
              <w:rPr>
                <w:rStyle w:val="52"/>
                <w:rFonts w:hint="default" w:ascii="Times New Roman" w:hAnsi="Times New Roman" w:cs="Times New Roman"/>
                <w:b w:val="0"/>
                <w:bCs w:val="0"/>
                <w:color w:val="auto"/>
                <w:sz w:val="21"/>
                <w:szCs w:val="21"/>
                <w:lang w:bidi="ar"/>
              </w:rPr>
              <w:t>万吨</w:t>
            </w:r>
            <w:r>
              <w:rPr>
                <w:rStyle w:val="61"/>
                <w:b w:val="0"/>
                <w:bCs w:val="0"/>
                <w:color w:val="auto"/>
                <w:sz w:val="21"/>
                <w:szCs w:val="21"/>
                <w:lang w:bidi="ar"/>
              </w:rPr>
              <w:t>/</w:t>
            </w:r>
            <w:r>
              <w:rPr>
                <w:rStyle w:val="52"/>
                <w:rFonts w:hint="default" w:ascii="Times New Roman" w:hAnsi="Times New Roman" w:cs="Times New Roman"/>
                <w:b w:val="0"/>
                <w:bCs w:val="0"/>
                <w:color w:val="auto"/>
                <w:sz w:val="21"/>
                <w:szCs w:val="21"/>
                <w:lang w:bidi="ar"/>
              </w:rPr>
              <w:t>年</w:t>
            </w:r>
            <w:r>
              <w:rPr>
                <w:rStyle w:val="61"/>
                <w:b w:val="0"/>
                <w:bCs w:val="0"/>
                <w:color w:val="auto"/>
                <w:sz w:val="21"/>
                <w:szCs w:val="21"/>
                <w:lang w:bidi="ar"/>
              </w:rPr>
              <w:t>)</w:t>
            </w:r>
          </w:p>
        </w:tc>
        <w:tc>
          <w:tcPr>
            <w:tcW w:w="1701" w:type="dxa"/>
            <w:noWrap w:val="0"/>
            <w:vAlign w:val="center"/>
          </w:tcPr>
          <w:p>
            <w:pPr>
              <w:widowControl/>
              <w:jc w:val="center"/>
              <w:textAlignment w:val="center"/>
              <w:rPr>
                <w:rFonts w:hint="default" w:eastAsia="宋体"/>
                <w:snapToGrid w:val="0"/>
                <w:color w:val="auto"/>
                <w:kern w:val="21"/>
                <w:szCs w:val="21"/>
                <w:lang w:val="en-US" w:eastAsia="zh-CN"/>
              </w:rPr>
            </w:pPr>
            <w:r>
              <w:rPr>
                <w:rFonts w:hint="eastAsia"/>
                <w:snapToGrid w:val="0"/>
                <w:color w:val="auto"/>
                <w:kern w:val="21"/>
                <w:szCs w:val="21"/>
                <w:lang w:val="en-US" w:eastAsia="zh-CN"/>
              </w:rPr>
              <w:t>0.144</w:t>
            </w:r>
          </w:p>
        </w:tc>
        <w:tc>
          <w:tcPr>
            <w:tcW w:w="1276" w:type="dxa"/>
            <w:noWrap w:val="0"/>
            <w:vAlign w:val="center"/>
          </w:tcPr>
          <w:p>
            <w:pPr>
              <w:pStyle w:val="59"/>
              <w:spacing w:beforeLines="0" w:afterLines="0" w:line="240" w:lineRule="auto"/>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w:t>
            </w:r>
          </w:p>
        </w:tc>
        <w:tc>
          <w:tcPr>
            <w:tcW w:w="1701" w:type="dxa"/>
            <w:noWrap w:val="0"/>
            <w:vAlign w:val="center"/>
          </w:tcPr>
          <w:p>
            <w:pPr>
              <w:jc w:val="center"/>
              <w:rPr>
                <w:rFonts w:hint="eastAsia" w:eastAsia="宋体"/>
                <w:snapToGrid w:val="0"/>
                <w:color w:val="auto"/>
                <w:kern w:val="21"/>
                <w:szCs w:val="21"/>
                <w:lang w:eastAsia="zh-CN"/>
              </w:rPr>
            </w:pPr>
            <w:r>
              <w:rPr>
                <w:rFonts w:hint="eastAsia"/>
                <w:color w:val="auto"/>
                <w:lang w:val="en-US" w:eastAsia="zh-CN"/>
              </w:rPr>
              <w:t>/</w:t>
            </w:r>
          </w:p>
        </w:tc>
        <w:tc>
          <w:tcPr>
            <w:tcW w:w="1559" w:type="dxa"/>
            <w:noWrap w:val="0"/>
            <w:vAlign w:val="center"/>
          </w:tcPr>
          <w:p>
            <w:pPr>
              <w:widowControl/>
              <w:jc w:val="center"/>
              <w:textAlignment w:val="center"/>
              <w:rPr>
                <w:rFonts w:hint="default" w:eastAsia="宋体"/>
                <w:snapToGrid w:val="0"/>
                <w:color w:val="auto"/>
                <w:kern w:val="21"/>
                <w:szCs w:val="21"/>
                <w:lang w:val="en-US" w:eastAsia="zh-CN"/>
              </w:rPr>
            </w:pPr>
            <w:r>
              <w:rPr>
                <w:rFonts w:hint="eastAsia"/>
                <w:snapToGrid w:val="0"/>
                <w:color w:val="auto"/>
                <w:kern w:val="21"/>
                <w:szCs w:val="21"/>
                <w:lang w:val="en-US" w:eastAsia="zh-CN"/>
              </w:rPr>
              <w:t>0</w:t>
            </w:r>
          </w:p>
        </w:tc>
        <w:tc>
          <w:tcPr>
            <w:tcW w:w="1761" w:type="dxa"/>
            <w:noWrap w:val="0"/>
            <w:vAlign w:val="center"/>
          </w:tcPr>
          <w:p>
            <w:pPr>
              <w:pStyle w:val="59"/>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hAnsi="Times New Roman" w:cs="Times New Roman"/>
                <w:snapToGrid w:val="0"/>
                <w:color w:val="auto"/>
                <w:kern w:val="21"/>
                <w:szCs w:val="21"/>
                <w:lang w:val="en-US" w:eastAsia="zh-CN"/>
              </w:rPr>
              <w:t>0</w:t>
            </w:r>
          </w:p>
        </w:tc>
        <w:tc>
          <w:tcPr>
            <w:tcW w:w="1608" w:type="dxa"/>
            <w:noWrap w:val="0"/>
            <w:vAlign w:val="center"/>
          </w:tcPr>
          <w:p>
            <w:pPr>
              <w:widowControl/>
              <w:jc w:val="center"/>
              <w:textAlignment w:val="center"/>
              <w:rPr>
                <w:rFonts w:hint="default" w:eastAsia="宋体"/>
                <w:snapToGrid w:val="0"/>
                <w:color w:val="auto"/>
                <w:kern w:val="21"/>
                <w:szCs w:val="21"/>
                <w:lang w:val="en-US" w:eastAsia="zh-CN"/>
              </w:rPr>
            </w:pPr>
            <w:r>
              <w:rPr>
                <w:rFonts w:hint="eastAsia"/>
                <w:snapToGrid w:val="0"/>
                <w:color w:val="auto"/>
                <w:kern w:val="21"/>
                <w:szCs w:val="21"/>
                <w:lang w:val="en-US" w:eastAsia="zh-CN"/>
              </w:rPr>
              <w:t>0.144</w:t>
            </w:r>
          </w:p>
        </w:tc>
        <w:tc>
          <w:tcPr>
            <w:tcW w:w="1177" w:type="dxa"/>
            <w:noWrap w:val="0"/>
            <w:vAlign w:val="center"/>
          </w:tcPr>
          <w:p>
            <w:pPr>
              <w:widowControl/>
              <w:jc w:val="center"/>
              <w:textAlignment w:val="center"/>
              <w:rPr>
                <w:rFonts w:hint="default" w:eastAsia="宋体"/>
                <w:snapToGrid w:val="0"/>
                <w:color w:val="auto"/>
                <w:kern w:val="21"/>
                <w:szCs w:val="21"/>
                <w:lang w:val="en-US" w:eastAsia="zh-CN"/>
              </w:rPr>
            </w:pPr>
            <w:r>
              <w:rPr>
                <w:rFonts w:hint="eastAsia"/>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widowControl/>
              <w:jc w:val="center"/>
              <w:textAlignment w:val="center"/>
              <w:rPr>
                <w:snapToGrid w:val="0"/>
                <w:color w:val="auto"/>
                <w:kern w:val="21"/>
                <w:szCs w:val="21"/>
              </w:rPr>
            </w:pPr>
            <w:r>
              <w:rPr>
                <w:color w:val="auto"/>
                <w:szCs w:val="21"/>
              </w:rPr>
              <w:t>COD</w:t>
            </w:r>
            <w:r>
              <w:rPr>
                <w:color w:val="auto"/>
                <w:szCs w:val="21"/>
                <w:vertAlign w:val="subscript"/>
              </w:rPr>
              <w:t>cr</w:t>
            </w:r>
          </w:p>
        </w:tc>
        <w:tc>
          <w:tcPr>
            <w:tcW w:w="1701" w:type="dxa"/>
            <w:noWrap w:val="0"/>
            <w:vAlign w:val="center"/>
          </w:tcPr>
          <w:p>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1276" w:type="dxa"/>
            <w:noWrap w:val="0"/>
            <w:vAlign w:val="center"/>
          </w:tcPr>
          <w:p>
            <w:pPr>
              <w:widowControl/>
              <w:jc w:val="center"/>
              <w:textAlignment w:val="center"/>
              <w:rPr>
                <w:snapToGrid w:val="0"/>
                <w:color w:val="auto"/>
                <w:kern w:val="21"/>
                <w:szCs w:val="21"/>
              </w:rPr>
            </w:pPr>
            <w:r>
              <w:rPr>
                <w:snapToGrid w:val="0"/>
                <w:color w:val="auto"/>
                <w:kern w:val="21"/>
                <w:szCs w:val="21"/>
              </w:rPr>
              <w:t>/</w:t>
            </w:r>
          </w:p>
        </w:tc>
        <w:tc>
          <w:tcPr>
            <w:tcW w:w="1701" w:type="dxa"/>
            <w:noWrap w:val="0"/>
            <w:vAlign w:val="center"/>
          </w:tcPr>
          <w:p>
            <w:pPr>
              <w:widowControl/>
              <w:jc w:val="center"/>
              <w:textAlignment w:val="center"/>
              <w:rPr>
                <w:rFonts w:hint="eastAsia" w:eastAsia="宋体"/>
                <w:snapToGrid w:val="0"/>
                <w:color w:val="auto"/>
                <w:kern w:val="21"/>
                <w:szCs w:val="21"/>
                <w:lang w:eastAsia="zh-CN"/>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eastAsia="zh-CN"/>
              </w:rPr>
            </w:pPr>
            <w:r>
              <w:rPr>
                <w:rFonts w:hint="eastAsia" w:cs="Times New Roman"/>
                <w:i w:val="0"/>
                <w:iCs w:val="0"/>
                <w:color w:val="auto"/>
                <w:kern w:val="0"/>
                <w:sz w:val="21"/>
                <w:szCs w:val="21"/>
                <w:u w:val="none"/>
                <w:lang w:val="en-US" w:eastAsia="zh-CN" w:bidi="ar"/>
              </w:rPr>
              <w:t>0</w:t>
            </w:r>
          </w:p>
        </w:tc>
        <w:tc>
          <w:tcPr>
            <w:tcW w:w="1761" w:type="dxa"/>
            <w:noWrap w:val="0"/>
            <w:vAlign w:val="center"/>
          </w:tcPr>
          <w:p>
            <w:pPr>
              <w:pStyle w:val="59"/>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hAnsi="Times New Roman" w:cs="Times New Roman"/>
                <w:snapToGrid w:val="0"/>
                <w:color w:val="auto"/>
                <w:kern w:val="21"/>
                <w:szCs w:val="21"/>
                <w:lang w:val="en-US" w:eastAsia="zh-CN"/>
              </w:rPr>
              <w:t>0</w:t>
            </w:r>
          </w:p>
        </w:tc>
        <w:tc>
          <w:tcPr>
            <w:tcW w:w="1608" w:type="dxa"/>
            <w:noWrap w:val="0"/>
            <w:vAlign w:val="center"/>
          </w:tcPr>
          <w:p>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1177"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eastAsia="zh-CN"/>
              </w:rPr>
            </w:pPr>
            <w:r>
              <w:rPr>
                <w:rFonts w:hint="eastAsia" w:cs="Times New Roman"/>
                <w:i w:val="0"/>
                <w:iCs w:val="0"/>
                <w:color w:val="auto"/>
                <w:kern w:val="0"/>
                <w:sz w:val="21"/>
                <w:szCs w:val="21"/>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widowControl/>
              <w:jc w:val="center"/>
              <w:textAlignment w:val="center"/>
              <w:rPr>
                <w:snapToGrid w:val="0"/>
                <w:color w:val="auto"/>
                <w:kern w:val="21"/>
                <w:szCs w:val="21"/>
              </w:rPr>
            </w:pPr>
            <w:r>
              <w:rPr>
                <w:rStyle w:val="52"/>
                <w:rFonts w:hint="default" w:ascii="Times New Roman" w:hAnsi="Times New Roman" w:cs="Times New Roman"/>
                <w:b w:val="0"/>
                <w:bCs w:val="0"/>
                <w:color w:val="auto"/>
                <w:sz w:val="21"/>
                <w:szCs w:val="21"/>
                <w:lang w:bidi="ar"/>
              </w:rPr>
              <w:t>氨氮</w:t>
            </w:r>
          </w:p>
        </w:tc>
        <w:tc>
          <w:tcPr>
            <w:tcW w:w="1701" w:type="dxa"/>
            <w:noWrap w:val="0"/>
            <w:vAlign w:val="center"/>
          </w:tcPr>
          <w:p>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276" w:type="dxa"/>
            <w:noWrap w:val="0"/>
            <w:vAlign w:val="center"/>
          </w:tcPr>
          <w:p>
            <w:pPr>
              <w:widowControl/>
              <w:jc w:val="center"/>
              <w:textAlignment w:val="center"/>
              <w:rPr>
                <w:snapToGrid w:val="0"/>
                <w:color w:val="auto"/>
                <w:kern w:val="21"/>
                <w:szCs w:val="21"/>
              </w:rPr>
            </w:pPr>
            <w:r>
              <w:rPr>
                <w:snapToGrid w:val="0"/>
                <w:color w:val="auto"/>
                <w:kern w:val="21"/>
                <w:szCs w:val="21"/>
              </w:rPr>
              <w:t>/</w:t>
            </w:r>
          </w:p>
        </w:tc>
        <w:tc>
          <w:tcPr>
            <w:tcW w:w="1701" w:type="dxa"/>
            <w:noWrap w:val="0"/>
            <w:vAlign w:val="center"/>
          </w:tcPr>
          <w:p>
            <w:pPr>
              <w:widowControl/>
              <w:jc w:val="center"/>
              <w:textAlignment w:val="center"/>
              <w:rPr>
                <w:rFonts w:hint="default"/>
                <w:snapToGrid w:val="0"/>
                <w:color w:val="auto"/>
                <w:kern w:val="21"/>
                <w:szCs w:val="21"/>
                <w:lang w:val="en-US"/>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val="en-US" w:eastAsia="zh-CN"/>
              </w:rPr>
            </w:pPr>
            <w:r>
              <w:rPr>
                <w:rFonts w:hint="eastAsia" w:cs="Times New Roman"/>
                <w:i w:val="0"/>
                <w:iCs w:val="0"/>
                <w:color w:val="auto"/>
                <w:kern w:val="0"/>
                <w:sz w:val="21"/>
                <w:szCs w:val="21"/>
                <w:u w:val="none"/>
                <w:lang w:val="en-US" w:eastAsia="zh-CN" w:bidi="ar"/>
              </w:rPr>
              <w:t>0</w:t>
            </w:r>
          </w:p>
        </w:tc>
        <w:tc>
          <w:tcPr>
            <w:tcW w:w="1761" w:type="dxa"/>
            <w:noWrap w:val="0"/>
            <w:vAlign w:val="center"/>
          </w:tcPr>
          <w:p>
            <w:pPr>
              <w:pStyle w:val="59"/>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hAnsi="Times New Roman" w:cs="Times New Roman"/>
                <w:snapToGrid w:val="0"/>
                <w:color w:val="auto"/>
                <w:kern w:val="21"/>
                <w:szCs w:val="21"/>
                <w:lang w:val="en-US" w:eastAsia="zh-CN"/>
              </w:rPr>
              <w:t>0</w:t>
            </w:r>
          </w:p>
        </w:tc>
        <w:tc>
          <w:tcPr>
            <w:tcW w:w="1608" w:type="dxa"/>
            <w:noWrap w:val="0"/>
            <w:vAlign w:val="center"/>
          </w:tcPr>
          <w:p>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177"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eastAsia="zh-CN"/>
              </w:rPr>
            </w:pPr>
            <w:r>
              <w:rPr>
                <w:rFonts w:hint="eastAsia" w:cs="Times New Roman"/>
                <w:i w:val="0"/>
                <w:iCs w:val="0"/>
                <w:color w:val="auto"/>
                <w:kern w:val="0"/>
                <w:sz w:val="21"/>
                <w:szCs w:val="21"/>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6" w:type="dxa"/>
            <w:vMerge w:val="restart"/>
            <w:noWrap w:val="0"/>
            <w:vAlign w:val="center"/>
          </w:tcPr>
          <w:p>
            <w:pPr>
              <w:pStyle w:val="59"/>
              <w:spacing w:beforeLines="0" w:afterLines="0" w:line="240" w:lineRule="auto"/>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一般工业</w:t>
            </w:r>
          </w:p>
          <w:p>
            <w:pPr>
              <w:pStyle w:val="59"/>
              <w:spacing w:beforeLines="0" w:afterLines="0" w:line="240" w:lineRule="auto"/>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固体废物</w:t>
            </w:r>
          </w:p>
        </w:tc>
        <w:tc>
          <w:tcPr>
            <w:tcW w:w="1839" w:type="dxa"/>
            <w:noWrap w:val="0"/>
            <w:vAlign w:val="center"/>
          </w:tcPr>
          <w:p>
            <w:pPr>
              <w:pStyle w:val="28"/>
              <w:spacing w:after="0" w:line="240" w:lineRule="auto"/>
              <w:ind w:right="113" w:rightChars="0" w:firstLine="0" w:firstLineChars="0"/>
              <w:jc w:val="center"/>
              <w:rPr>
                <w:snapToGrid w:val="0"/>
                <w:color w:val="auto"/>
                <w:kern w:val="21"/>
                <w:szCs w:val="21"/>
              </w:rPr>
            </w:pPr>
            <w:r>
              <w:rPr>
                <w:rFonts w:hint="default" w:ascii="Times New Roman" w:hAnsi="Times New Roman" w:eastAsia="宋体" w:cs="Times New Roman"/>
                <w:color w:val="auto"/>
                <w:sz w:val="21"/>
                <w:szCs w:val="21"/>
              </w:rPr>
              <w:t>清洗</w:t>
            </w:r>
            <w:r>
              <w:rPr>
                <w:rFonts w:hint="default" w:ascii="Times New Roman" w:hAnsi="Times New Roman" w:eastAsia="宋体" w:cs="Times New Roman"/>
                <w:color w:val="auto"/>
                <w:sz w:val="21"/>
                <w:szCs w:val="21"/>
                <w:lang w:val="en-US" w:eastAsia="zh-CN"/>
              </w:rPr>
              <w:t>沉淀池污泥</w:t>
            </w:r>
          </w:p>
        </w:tc>
        <w:tc>
          <w:tcPr>
            <w:tcW w:w="1701"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bCs/>
                <w:color w:val="auto"/>
                <w:sz w:val="21"/>
                <w:szCs w:val="21"/>
                <w:lang w:val="en-US" w:eastAsia="zh-CN"/>
              </w:rPr>
              <w:t>90</w:t>
            </w:r>
          </w:p>
        </w:tc>
        <w:tc>
          <w:tcPr>
            <w:tcW w:w="1276" w:type="dxa"/>
            <w:noWrap w:val="0"/>
            <w:vAlign w:val="center"/>
          </w:tcPr>
          <w:p>
            <w:pPr>
              <w:jc w:val="center"/>
              <w:rPr>
                <w:snapToGrid w:val="0"/>
                <w:color w:val="auto"/>
                <w:kern w:val="21"/>
                <w:szCs w:val="21"/>
              </w:rPr>
            </w:pPr>
            <w:r>
              <w:rPr>
                <w:snapToGrid w:val="0"/>
                <w:color w:val="auto"/>
                <w:kern w:val="21"/>
                <w:szCs w:val="21"/>
              </w:rPr>
              <w:t>/</w:t>
            </w:r>
          </w:p>
        </w:tc>
        <w:tc>
          <w:tcPr>
            <w:tcW w:w="1701" w:type="dxa"/>
            <w:noWrap w:val="0"/>
            <w:vAlign w:val="center"/>
          </w:tcPr>
          <w:p>
            <w:pPr>
              <w:spacing w:line="360" w:lineRule="exact"/>
              <w:jc w:val="center"/>
              <w:rPr>
                <w:rFonts w:hint="eastAsia" w:eastAsia="宋体"/>
                <w:snapToGrid w:val="0"/>
                <w:color w:val="auto"/>
                <w:kern w:val="21"/>
                <w:szCs w:val="21"/>
                <w:lang w:eastAsia="zh-CN"/>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761" w:type="dxa"/>
            <w:noWrap w:val="0"/>
            <w:vAlign w:val="center"/>
          </w:tcPr>
          <w:p>
            <w:pPr>
              <w:keepNext w:val="0"/>
              <w:keepLines w:val="0"/>
              <w:widowControl/>
              <w:suppressLineNumbers w:val="0"/>
              <w:jc w:val="center"/>
              <w:textAlignment w:val="center"/>
              <w:rPr>
                <w:rFonts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608"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bCs/>
                <w:color w:val="auto"/>
                <w:sz w:val="21"/>
                <w:szCs w:val="21"/>
                <w:lang w:val="en-US" w:eastAsia="zh-CN"/>
              </w:rPr>
              <w:t>90</w:t>
            </w:r>
          </w:p>
        </w:tc>
        <w:tc>
          <w:tcPr>
            <w:tcW w:w="1177"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pStyle w:val="28"/>
              <w:spacing w:after="0" w:line="240" w:lineRule="auto"/>
              <w:ind w:right="113" w:rightChars="0" w:firstLine="0" w:firstLineChars="0"/>
              <w:jc w:val="center"/>
              <w:rPr>
                <w:snapToGrid w:val="0"/>
                <w:color w:val="auto"/>
                <w:kern w:val="21"/>
                <w:szCs w:val="21"/>
              </w:rPr>
            </w:pPr>
            <w:r>
              <w:rPr>
                <w:rFonts w:hint="default" w:ascii="Times New Roman" w:hAnsi="Times New Roman" w:eastAsia="宋体" w:cs="Times New Roman"/>
                <w:color w:val="auto"/>
                <w:sz w:val="21"/>
                <w:szCs w:val="21"/>
              </w:rPr>
              <w:t>废包装材料</w:t>
            </w:r>
          </w:p>
        </w:tc>
        <w:tc>
          <w:tcPr>
            <w:tcW w:w="1701"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rPr>
              <w:t>0.3</w:t>
            </w:r>
          </w:p>
        </w:tc>
        <w:tc>
          <w:tcPr>
            <w:tcW w:w="1276" w:type="dxa"/>
            <w:noWrap w:val="0"/>
            <w:vAlign w:val="center"/>
          </w:tcPr>
          <w:p>
            <w:pPr>
              <w:jc w:val="center"/>
              <w:rPr>
                <w:snapToGrid w:val="0"/>
                <w:color w:val="auto"/>
                <w:kern w:val="21"/>
                <w:szCs w:val="21"/>
              </w:rPr>
            </w:pPr>
            <w:r>
              <w:rPr>
                <w:snapToGrid w:val="0"/>
                <w:color w:val="auto"/>
                <w:kern w:val="21"/>
                <w:szCs w:val="21"/>
              </w:rPr>
              <w:t>/</w:t>
            </w:r>
          </w:p>
        </w:tc>
        <w:tc>
          <w:tcPr>
            <w:tcW w:w="1701" w:type="dxa"/>
            <w:noWrap w:val="0"/>
            <w:vAlign w:val="center"/>
          </w:tcPr>
          <w:p>
            <w:pPr>
              <w:spacing w:line="360" w:lineRule="exact"/>
              <w:jc w:val="center"/>
              <w:rPr>
                <w:rFonts w:hint="eastAsia" w:eastAsia="宋体"/>
                <w:snapToGrid w:val="0"/>
                <w:color w:val="auto"/>
                <w:kern w:val="21"/>
                <w:szCs w:val="21"/>
                <w:lang w:eastAsia="zh-CN"/>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0.2</w:t>
            </w:r>
          </w:p>
        </w:tc>
        <w:tc>
          <w:tcPr>
            <w:tcW w:w="1761" w:type="dxa"/>
            <w:noWrap w:val="0"/>
            <w:vAlign w:val="center"/>
          </w:tcPr>
          <w:p>
            <w:pPr>
              <w:keepNext w:val="0"/>
              <w:keepLines w:val="0"/>
              <w:widowControl/>
              <w:suppressLineNumbers w:val="0"/>
              <w:jc w:val="center"/>
              <w:textAlignment w:val="center"/>
              <w:rPr>
                <w:rFonts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608"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w:t>
            </w:r>
          </w:p>
        </w:tc>
        <w:tc>
          <w:tcPr>
            <w:tcW w:w="1177"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pStyle w:val="28"/>
              <w:spacing w:after="0" w:line="240" w:lineRule="auto"/>
              <w:ind w:right="113" w:rightChars="0" w:firstLine="0" w:firstLineChars="0"/>
              <w:jc w:val="center"/>
              <w:rPr>
                <w:rFonts w:hint="default" w:eastAsia="宋体"/>
                <w:snapToGrid w:val="0"/>
                <w:color w:val="auto"/>
                <w:kern w:val="21"/>
                <w:szCs w:val="21"/>
                <w:lang w:val="en-US" w:eastAsia="zh-CN"/>
              </w:rPr>
            </w:pPr>
            <w:r>
              <w:rPr>
                <w:rFonts w:hint="default" w:ascii="Times New Roman" w:hAnsi="Times New Roman" w:eastAsia="宋体" w:cs="Times New Roman"/>
                <w:color w:val="auto"/>
                <w:sz w:val="21"/>
                <w:szCs w:val="21"/>
              </w:rPr>
              <w:t>次品丝</w:t>
            </w:r>
          </w:p>
        </w:tc>
        <w:tc>
          <w:tcPr>
            <w:tcW w:w="1701"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lang w:val="en-US" w:eastAsia="zh-CN"/>
              </w:rPr>
              <w:t>200</w:t>
            </w:r>
          </w:p>
        </w:tc>
        <w:tc>
          <w:tcPr>
            <w:tcW w:w="1276" w:type="dxa"/>
            <w:noWrap w:val="0"/>
            <w:vAlign w:val="center"/>
          </w:tcPr>
          <w:p>
            <w:pPr>
              <w:jc w:val="center"/>
              <w:rPr>
                <w:snapToGrid w:val="0"/>
                <w:color w:val="auto"/>
                <w:kern w:val="21"/>
                <w:szCs w:val="21"/>
              </w:rPr>
            </w:pPr>
            <w:r>
              <w:rPr>
                <w:snapToGrid w:val="0"/>
                <w:color w:val="auto"/>
                <w:kern w:val="21"/>
                <w:szCs w:val="21"/>
              </w:rPr>
              <w:t>/</w:t>
            </w:r>
          </w:p>
        </w:tc>
        <w:tc>
          <w:tcPr>
            <w:tcW w:w="1701" w:type="dxa"/>
            <w:noWrap w:val="0"/>
            <w:vAlign w:val="center"/>
          </w:tcPr>
          <w:p>
            <w:pPr>
              <w:spacing w:line="360" w:lineRule="exact"/>
              <w:jc w:val="center"/>
              <w:rPr>
                <w:snapToGrid w:val="0"/>
                <w:color w:val="auto"/>
                <w:kern w:val="21"/>
                <w:szCs w:val="21"/>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761" w:type="dxa"/>
            <w:noWrap w:val="0"/>
            <w:vAlign w:val="center"/>
          </w:tcPr>
          <w:p>
            <w:pPr>
              <w:keepNext w:val="0"/>
              <w:keepLines w:val="0"/>
              <w:widowControl/>
              <w:suppressLineNumbers w:val="0"/>
              <w:jc w:val="center"/>
              <w:textAlignment w:val="center"/>
              <w:rPr>
                <w:rFonts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608"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lang w:val="en-US" w:eastAsia="zh-CN"/>
              </w:rPr>
              <w:t>200</w:t>
            </w:r>
          </w:p>
        </w:tc>
        <w:tc>
          <w:tcPr>
            <w:tcW w:w="1177"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pStyle w:val="28"/>
              <w:spacing w:after="0" w:line="240" w:lineRule="auto"/>
              <w:ind w:right="113" w:rightChars="0" w:firstLine="0" w:firstLineChars="0"/>
              <w:jc w:val="center"/>
              <w:rPr>
                <w:color w:val="auto"/>
                <w:szCs w:val="21"/>
              </w:rPr>
            </w:pPr>
            <w:r>
              <w:rPr>
                <w:rFonts w:hint="default" w:ascii="Times New Roman" w:hAnsi="Times New Roman" w:eastAsia="宋体" w:cs="Times New Roman"/>
                <w:bCs/>
                <w:color w:val="auto"/>
                <w:sz w:val="21"/>
                <w:szCs w:val="21"/>
                <w:highlight w:val="none"/>
              </w:rPr>
              <w:t>生活垃圾</w:t>
            </w:r>
          </w:p>
        </w:tc>
        <w:tc>
          <w:tcPr>
            <w:tcW w:w="1701"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lang w:val="en-US" w:eastAsia="zh-CN"/>
              </w:rPr>
              <w:t>9</w:t>
            </w:r>
          </w:p>
        </w:tc>
        <w:tc>
          <w:tcPr>
            <w:tcW w:w="1276" w:type="dxa"/>
            <w:noWrap w:val="0"/>
            <w:vAlign w:val="center"/>
          </w:tcPr>
          <w:p>
            <w:pPr>
              <w:jc w:val="center"/>
              <w:rPr>
                <w:snapToGrid w:val="0"/>
                <w:color w:val="auto"/>
                <w:kern w:val="21"/>
                <w:szCs w:val="21"/>
              </w:rPr>
            </w:pPr>
            <w:r>
              <w:rPr>
                <w:snapToGrid w:val="0"/>
                <w:color w:val="auto"/>
                <w:kern w:val="21"/>
                <w:szCs w:val="21"/>
              </w:rPr>
              <w:t>/</w:t>
            </w:r>
          </w:p>
        </w:tc>
        <w:tc>
          <w:tcPr>
            <w:tcW w:w="1701" w:type="dxa"/>
            <w:noWrap w:val="0"/>
            <w:vAlign w:val="center"/>
          </w:tcPr>
          <w:p>
            <w:pPr>
              <w:spacing w:line="360" w:lineRule="exact"/>
              <w:jc w:val="center"/>
              <w:rPr>
                <w:color w:val="auto"/>
                <w:szCs w:val="21"/>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highlight w:val="none"/>
                <w:u w:val="none"/>
                <w:lang w:val="en-US" w:eastAsia="zh-CN" w:bidi="ar"/>
              </w:rPr>
              <w:t>9</w:t>
            </w:r>
          </w:p>
        </w:tc>
        <w:tc>
          <w:tcPr>
            <w:tcW w:w="1761" w:type="dxa"/>
            <w:noWrap w:val="0"/>
            <w:vAlign w:val="center"/>
          </w:tcPr>
          <w:p>
            <w:pPr>
              <w:keepNext w:val="0"/>
              <w:keepLines w:val="0"/>
              <w:widowControl/>
              <w:suppressLineNumbers w:val="0"/>
              <w:jc w:val="center"/>
              <w:textAlignment w:val="center"/>
              <w:rPr>
                <w:rFonts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608"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eastAsia" w:cs="Times New Roman"/>
                <w:color w:val="auto"/>
                <w:sz w:val="21"/>
                <w:szCs w:val="21"/>
                <w:highlight w:val="none"/>
                <w:lang w:val="en-US" w:eastAsia="zh-CN"/>
              </w:rPr>
              <w:t>18</w:t>
            </w:r>
          </w:p>
        </w:tc>
        <w:tc>
          <w:tcPr>
            <w:tcW w:w="1177" w:type="dxa"/>
            <w:noWrap w:val="0"/>
            <w:vAlign w:val="center"/>
          </w:tcPr>
          <w:p>
            <w:pPr>
              <w:keepNext w:val="0"/>
              <w:keepLines w:val="0"/>
              <w:widowControl/>
              <w:suppressLineNumbers w:val="0"/>
              <w:jc w:val="center"/>
              <w:textAlignment w:val="center"/>
              <w:rPr>
                <w:rFonts w:hint="eastAsia" w:eastAsia="宋体"/>
                <w:color w:val="auto"/>
                <w:szCs w:val="21"/>
                <w:lang w:eastAsia="zh-CN"/>
              </w:rPr>
            </w:pPr>
            <w:r>
              <w:rPr>
                <w:rFonts w:hint="eastAsia" w:cs="Times New Roman"/>
                <w:i w:val="0"/>
                <w:iCs w:val="0"/>
                <w:color w:val="auto"/>
                <w:kern w:val="0"/>
                <w:sz w:val="21"/>
                <w:szCs w:val="21"/>
                <w:highlight w:val="none"/>
                <w:u w:val="none"/>
                <w:lang w:val="en-US" w:eastAsia="zh-CN" w:bidi="ar"/>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pStyle w:val="28"/>
              <w:spacing w:after="0" w:line="240" w:lineRule="auto"/>
              <w:ind w:right="113" w:rightChars="0" w:firstLine="0" w:firstLineChars="0"/>
              <w:jc w:val="center"/>
              <w:rPr>
                <w:snapToGrid w:val="0"/>
                <w:color w:val="auto"/>
                <w:kern w:val="21"/>
                <w:szCs w:val="21"/>
              </w:rPr>
            </w:pPr>
            <w:r>
              <w:rPr>
                <w:rFonts w:hint="default" w:ascii="Times New Roman" w:hAnsi="Times New Roman" w:eastAsia="宋体" w:cs="Times New Roman"/>
                <w:bCs/>
                <w:color w:val="auto"/>
                <w:sz w:val="21"/>
                <w:szCs w:val="21"/>
              </w:rPr>
              <w:t>废过滤棉</w:t>
            </w:r>
          </w:p>
        </w:tc>
        <w:tc>
          <w:tcPr>
            <w:tcW w:w="1701" w:type="dxa"/>
            <w:noWrap w:val="0"/>
            <w:vAlign w:val="center"/>
          </w:tcPr>
          <w:p>
            <w:pPr>
              <w:pStyle w:val="2"/>
              <w:adjustRightInd/>
              <w:spacing w:before="0" w:line="240" w:lineRule="auto"/>
              <w:ind w:left="0" w:leftChars="0" w:right="0" w:rightChars="0" w:firstLine="0" w:firstLineChars="0"/>
              <w:jc w:val="center"/>
              <w:textAlignment w:val="auto"/>
              <w:rPr>
                <w:rFonts w:ascii="Times New Roman" w:hAnsi="Times New Roman" w:cs="Times New Roman"/>
                <w:snapToGrid w:val="0"/>
                <w:color w:val="auto"/>
                <w:kern w:val="21"/>
                <w:szCs w:val="21"/>
              </w:rPr>
            </w:pPr>
            <w:r>
              <w:rPr>
                <w:rFonts w:hint="default" w:ascii="Times New Roman" w:hAnsi="Times New Roman" w:eastAsia="宋体" w:cs="Times New Roman"/>
                <w:bCs/>
                <w:color w:val="auto"/>
                <w:sz w:val="21"/>
                <w:szCs w:val="21"/>
              </w:rPr>
              <w:t>1410m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/a</w:t>
            </w:r>
          </w:p>
        </w:tc>
        <w:tc>
          <w:tcPr>
            <w:tcW w:w="1276" w:type="dxa"/>
            <w:noWrap w:val="0"/>
            <w:vAlign w:val="center"/>
          </w:tcPr>
          <w:p>
            <w:pPr>
              <w:jc w:val="center"/>
              <w:rPr>
                <w:snapToGrid w:val="0"/>
                <w:color w:val="auto"/>
                <w:kern w:val="21"/>
                <w:szCs w:val="21"/>
              </w:rPr>
            </w:pPr>
            <w:r>
              <w:rPr>
                <w:snapToGrid w:val="0"/>
                <w:color w:val="auto"/>
                <w:kern w:val="21"/>
                <w:szCs w:val="21"/>
              </w:rPr>
              <w:t>/</w:t>
            </w:r>
          </w:p>
        </w:tc>
        <w:tc>
          <w:tcPr>
            <w:tcW w:w="1701" w:type="dxa"/>
            <w:noWrap w:val="0"/>
            <w:vAlign w:val="center"/>
          </w:tcPr>
          <w:p>
            <w:pPr>
              <w:spacing w:line="360" w:lineRule="exact"/>
              <w:jc w:val="center"/>
              <w:rPr>
                <w:snapToGrid w:val="0"/>
                <w:color w:val="auto"/>
                <w:kern w:val="21"/>
                <w:szCs w:val="21"/>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761" w:type="dxa"/>
            <w:noWrap w:val="0"/>
            <w:vAlign w:val="center"/>
          </w:tcPr>
          <w:p>
            <w:pPr>
              <w:keepNext w:val="0"/>
              <w:keepLines w:val="0"/>
              <w:widowControl/>
              <w:suppressLineNumbers w:val="0"/>
              <w:jc w:val="center"/>
              <w:textAlignment w:val="center"/>
              <w:rPr>
                <w:rFonts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608" w:type="dxa"/>
            <w:noWrap w:val="0"/>
            <w:vAlign w:val="center"/>
          </w:tcPr>
          <w:p>
            <w:pPr>
              <w:pStyle w:val="2"/>
              <w:adjustRightInd/>
              <w:spacing w:before="0" w:line="240" w:lineRule="auto"/>
              <w:ind w:left="0" w:leftChars="0" w:right="0" w:rightChars="0" w:firstLine="0" w:firstLineChars="0"/>
              <w:jc w:val="center"/>
              <w:textAlignment w:val="auto"/>
              <w:rPr>
                <w:rFonts w:ascii="Times New Roman" w:hAnsi="Times New Roman" w:cs="Times New Roman"/>
                <w:snapToGrid w:val="0"/>
                <w:color w:val="auto"/>
                <w:kern w:val="21"/>
                <w:szCs w:val="21"/>
              </w:rPr>
            </w:pPr>
            <w:r>
              <w:rPr>
                <w:rFonts w:hint="default" w:ascii="Times New Roman" w:hAnsi="Times New Roman" w:eastAsia="宋体" w:cs="Times New Roman"/>
                <w:bCs/>
                <w:color w:val="auto"/>
                <w:sz w:val="21"/>
                <w:szCs w:val="21"/>
              </w:rPr>
              <w:t>1410m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/a</w:t>
            </w:r>
          </w:p>
        </w:tc>
        <w:tc>
          <w:tcPr>
            <w:tcW w:w="1177"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pStyle w:val="28"/>
              <w:spacing w:after="0" w:line="240" w:lineRule="auto"/>
              <w:ind w:right="113" w:rightChars="0" w:firstLine="0" w:firstLineChars="0"/>
              <w:jc w:val="center"/>
              <w:rPr>
                <w:rFonts w:hint="eastAsia"/>
                <w:color w:val="auto"/>
                <w:szCs w:val="21"/>
              </w:rPr>
            </w:pPr>
            <w:r>
              <w:rPr>
                <w:rFonts w:hint="default" w:ascii="Times New Roman" w:hAnsi="Times New Roman" w:eastAsia="宋体" w:cs="Times New Roman"/>
                <w:color w:val="auto"/>
                <w:sz w:val="21"/>
                <w:szCs w:val="21"/>
              </w:rPr>
              <w:t>除尘灰</w:t>
            </w:r>
          </w:p>
        </w:tc>
        <w:tc>
          <w:tcPr>
            <w:tcW w:w="1701" w:type="dxa"/>
            <w:noWrap w:val="0"/>
            <w:vAlign w:val="center"/>
          </w:tcPr>
          <w:p>
            <w:pPr>
              <w:pStyle w:val="28"/>
              <w:spacing w:after="0" w:line="240" w:lineRule="auto"/>
              <w:ind w:right="113" w:rightChars="0" w:firstLine="0" w:firstLineChars="0"/>
              <w:jc w:val="center"/>
              <w:rPr>
                <w:rFonts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2.67</w:t>
            </w:r>
          </w:p>
        </w:tc>
        <w:tc>
          <w:tcPr>
            <w:tcW w:w="1276" w:type="dxa"/>
            <w:noWrap w:val="0"/>
            <w:vAlign w:val="center"/>
          </w:tcPr>
          <w:p>
            <w:pPr>
              <w:jc w:val="center"/>
              <w:rPr>
                <w:rFonts w:hint="eastAsia"/>
                <w:snapToGrid w:val="0"/>
                <w:color w:val="auto"/>
                <w:kern w:val="21"/>
                <w:szCs w:val="21"/>
              </w:rPr>
            </w:pPr>
            <w:r>
              <w:rPr>
                <w:rFonts w:hint="eastAsia"/>
                <w:snapToGrid w:val="0"/>
                <w:color w:val="auto"/>
                <w:kern w:val="21"/>
                <w:szCs w:val="21"/>
              </w:rPr>
              <w:t>/</w:t>
            </w:r>
          </w:p>
        </w:tc>
        <w:tc>
          <w:tcPr>
            <w:tcW w:w="1701" w:type="dxa"/>
            <w:noWrap w:val="0"/>
            <w:vAlign w:val="center"/>
          </w:tcPr>
          <w:p>
            <w:pPr>
              <w:spacing w:line="360" w:lineRule="exact"/>
              <w:jc w:val="center"/>
              <w:rPr>
                <w:rFonts w:hint="eastAsia"/>
                <w:color w:val="auto"/>
                <w:szCs w:val="21"/>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color w:val="auto"/>
                <w:szCs w:val="21"/>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761" w:type="dxa"/>
            <w:noWrap w:val="0"/>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1.78</w:t>
            </w:r>
          </w:p>
        </w:tc>
        <w:tc>
          <w:tcPr>
            <w:tcW w:w="1608"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89</w:t>
            </w:r>
          </w:p>
        </w:tc>
        <w:tc>
          <w:tcPr>
            <w:tcW w:w="1177" w:type="dxa"/>
            <w:noWrap w:val="0"/>
            <w:vAlign w:val="center"/>
          </w:tcPr>
          <w:p>
            <w:pPr>
              <w:keepNext w:val="0"/>
              <w:keepLines w:val="0"/>
              <w:widowControl/>
              <w:suppressLineNumbers w:val="0"/>
              <w:jc w:val="center"/>
              <w:textAlignment w:val="center"/>
              <w:rPr>
                <w:rFonts w:hint="eastAsia" w:eastAsia="宋体"/>
                <w:color w:val="auto"/>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污水处理污泥</w:t>
            </w:r>
          </w:p>
        </w:tc>
        <w:tc>
          <w:tcPr>
            <w:tcW w:w="1701" w:type="dxa"/>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default" w:ascii="Times New Roman" w:hAnsi="Times New Roman" w:eastAsia="宋体" w:cs="Times New Roman"/>
                <w:color w:val="auto"/>
                <w:sz w:val="21"/>
                <w:szCs w:val="21"/>
                <w:lang w:val="en-US" w:eastAsia="zh-CN"/>
              </w:rPr>
              <w:t>100</w:t>
            </w:r>
          </w:p>
        </w:tc>
        <w:tc>
          <w:tcPr>
            <w:tcW w:w="1276" w:type="dxa"/>
            <w:noWrap w:val="0"/>
            <w:vAlign w:val="center"/>
          </w:tcPr>
          <w:p>
            <w:pPr>
              <w:jc w:val="center"/>
              <w:rPr>
                <w:rFonts w:hint="eastAsia"/>
                <w:snapToGrid w:val="0"/>
                <w:color w:val="auto"/>
                <w:kern w:val="21"/>
                <w:szCs w:val="21"/>
              </w:rPr>
            </w:pPr>
            <w:r>
              <w:rPr>
                <w:rFonts w:hint="eastAsia"/>
                <w:snapToGrid w:val="0"/>
                <w:color w:val="auto"/>
                <w:kern w:val="21"/>
                <w:szCs w:val="21"/>
              </w:rPr>
              <w:t>/</w:t>
            </w:r>
          </w:p>
        </w:tc>
        <w:tc>
          <w:tcPr>
            <w:tcW w:w="1701" w:type="dxa"/>
            <w:noWrap w:val="0"/>
            <w:vAlign w:val="center"/>
          </w:tcPr>
          <w:p>
            <w:pPr>
              <w:spacing w:line="360" w:lineRule="exact"/>
              <w:jc w:val="center"/>
              <w:rPr>
                <w:rFonts w:hint="eastAsia"/>
                <w:color w:val="auto"/>
                <w:lang w:val="en-US" w:eastAsia="zh-CN"/>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rFonts w:hint="eastAsia"/>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761" w:type="dxa"/>
            <w:noWrap w:val="0"/>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608" w:type="dxa"/>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default" w:ascii="Times New Roman" w:hAnsi="Times New Roman" w:eastAsia="宋体" w:cs="Times New Roman"/>
                <w:color w:val="auto"/>
                <w:sz w:val="21"/>
                <w:szCs w:val="21"/>
                <w:lang w:val="en-US" w:eastAsia="zh-CN"/>
              </w:rPr>
              <w:t>100</w:t>
            </w:r>
          </w:p>
        </w:tc>
        <w:tc>
          <w:tcPr>
            <w:tcW w:w="1177" w:type="dxa"/>
            <w:noWrap w:val="0"/>
            <w:vAlign w:val="center"/>
          </w:tcPr>
          <w:p>
            <w:pPr>
              <w:keepNext w:val="0"/>
              <w:keepLines w:val="0"/>
              <w:widowControl/>
              <w:suppressLineNumbers w:val="0"/>
              <w:jc w:val="center"/>
              <w:textAlignment w:val="center"/>
              <w:rPr>
                <w:rFonts w:hint="eastAsia"/>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隔油池污泥</w:t>
            </w:r>
          </w:p>
        </w:tc>
        <w:tc>
          <w:tcPr>
            <w:tcW w:w="1701" w:type="dxa"/>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default" w:ascii="Times New Roman" w:hAnsi="Times New Roman" w:eastAsia="宋体" w:cs="Times New Roman"/>
                <w:color w:val="auto"/>
                <w:sz w:val="21"/>
                <w:szCs w:val="21"/>
                <w:lang w:val="en-US" w:eastAsia="zh-CN"/>
              </w:rPr>
              <w:t>2</w:t>
            </w:r>
          </w:p>
        </w:tc>
        <w:tc>
          <w:tcPr>
            <w:tcW w:w="1276" w:type="dxa"/>
            <w:noWrap w:val="0"/>
            <w:vAlign w:val="center"/>
          </w:tcPr>
          <w:p>
            <w:pPr>
              <w:jc w:val="center"/>
              <w:rPr>
                <w:rFonts w:hint="eastAsia"/>
                <w:snapToGrid w:val="0"/>
                <w:color w:val="auto"/>
                <w:kern w:val="21"/>
                <w:szCs w:val="21"/>
              </w:rPr>
            </w:pPr>
            <w:r>
              <w:rPr>
                <w:rFonts w:hint="eastAsia"/>
                <w:snapToGrid w:val="0"/>
                <w:color w:val="auto"/>
                <w:kern w:val="21"/>
                <w:szCs w:val="21"/>
              </w:rPr>
              <w:t>/</w:t>
            </w:r>
          </w:p>
        </w:tc>
        <w:tc>
          <w:tcPr>
            <w:tcW w:w="1701" w:type="dxa"/>
            <w:noWrap w:val="0"/>
            <w:vAlign w:val="center"/>
          </w:tcPr>
          <w:p>
            <w:pPr>
              <w:spacing w:line="360" w:lineRule="exact"/>
              <w:jc w:val="center"/>
              <w:rPr>
                <w:rFonts w:hint="eastAsia"/>
                <w:color w:val="auto"/>
                <w:lang w:val="en-US" w:eastAsia="zh-CN"/>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rFonts w:hint="eastAsia"/>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761" w:type="dxa"/>
            <w:noWrap w:val="0"/>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608" w:type="dxa"/>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default" w:ascii="Times New Roman" w:hAnsi="Times New Roman" w:eastAsia="宋体" w:cs="Times New Roman"/>
                <w:color w:val="auto"/>
                <w:sz w:val="21"/>
                <w:szCs w:val="21"/>
                <w:lang w:val="en-US" w:eastAsia="zh-CN"/>
              </w:rPr>
              <w:t>2.1</w:t>
            </w:r>
          </w:p>
        </w:tc>
        <w:tc>
          <w:tcPr>
            <w:tcW w:w="1177" w:type="dxa"/>
            <w:noWrap w:val="0"/>
            <w:vAlign w:val="center"/>
          </w:tcPr>
          <w:p>
            <w:pPr>
              <w:keepNext w:val="0"/>
              <w:keepLines w:val="0"/>
              <w:widowControl/>
              <w:suppressLineNumbers w:val="0"/>
              <w:jc w:val="center"/>
              <w:textAlignment w:val="center"/>
              <w:rPr>
                <w:rFonts w:hint="eastAsia"/>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pStyle w:val="28"/>
              <w:spacing w:after="0" w:line="240" w:lineRule="auto"/>
              <w:ind w:right="113" w:rightChars="0" w:firstLine="0" w:firstLineChars="0"/>
              <w:jc w:val="center"/>
              <w:rPr>
                <w:rFonts w:ascii="Times New Roman" w:hAnsi="Times New Roman" w:eastAsia="宋体"/>
                <w:bCs/>
                <w:color w:val="auto"/>
                <w:sz w:val="21"/>
                <w:szCs w:val="21"/>
              </w:rPr>
            </w:pPr>
            <w:r>
              <w:rPr>
                <w:rFonts w:hint="default" w:ascii="Times New Roman" w:hAnsi="Times New Roman" w:eastAsia="宋体" w:cs="Times New Roman"/>
                <w:color w:val="auto"/>
                <w:sz w:val="21"/>
                <w:szCs w:val="21"/>
                <w:lang w:val="en-US" w:eastAsia="zh-CN"/>
              </w:rPr>
              <w:t>预处理池污泥</w:t>
            </w:r>
          </w:p>
        </w:tc>
        <w:tc>
          <w:tcPr>
            <w:tcW w:w="1701" w:type="dxa"/>
            <w:noWrap w:val="0"/>
            <w:vAlign w:val="center"/>
          </w:tcPr>
          <w:p>
            <w:pPr>
              <w:pStyle w:val="28"/>
              <w:spacing w:after="0" w:line="240" w:lineRule="auto"/>
              <w:ind w:right="113" w:rightChars="0" w:firstLine="0" w:firstLineChars="0"/>
              <w:jc w:val="center"/>
              <w:rPr>
                <w:rFonts w:hint="eastAsia" w:ascii="Times New Roman" w:hAnsi="Times New Roman" w:eastAsia="宋体"/>
                <w:bCs/>
                <w:color w:val="auto"/>
                <w:sz w:val="21"/>
                <w:szCs w:val="21"/>
              </w:rPr>
            </w:pPr>
            <w:r>
              <w:rPr>
                <w:rFonts w:hint="default" w:ascii="Times New Roman" w:hAnsi="Times New Roman" w:eastAsia="宋体" w:cs="Times New Roman"/>
                <w:color w:val="auto"/>
                <w:sz w:val="21"/>
                <w:szCs w:val="21"/>
                <w:lang w:val="en-US" w:eastAsia="zh-CN"/>
              </w:rPr>
              <w:t>6</w:t>
            </w:r>
          </w:p>
        </w:tc>
        <w:tc>
          <w:tcPr>
            <w:tcW w:w="1276" w:type="dxa"/>
            <w:noWrap w:val="0"/>
            <w:vAlign w:val="center"/>
          </w:tcPr>
          <w:p>
            <w:pPr>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w:t>
            </w:r>
          </w:p>
        </w:tc>
        <w:tc>
          <w:tcPr>
            <w:tcW w:w="1701" w:type="dxa"/>
            <w:noWrap w:val="0"/>
            <w:vAlign w:val="center"/>
          </w:tcPr>
          <w:p>
            <w:pPr>
              <w:adjustRightInd w:val="0"/>
              <w:snapToGrid w:val="0"/>
              <w:jc w:val="center"/>
              <w:rPr>
                <w:color w:val="auto"/>
                <w:kern w:val="0"/>
                <w:szCs w:val="21"/>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rFonts w:hint="eastAsia"/>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0.2</w:t>
            </w:r>
          </w:p>
        </w:tc>
        <w:tc>
          <w:tcPr>
            <w:tcW w:w="1761" w:type="dxa"/>
            <w:noWrap w:val="0"/>
            <w:vAlign w:val="center"/>
          </w:tcPr>
          <w:p>
            <w:pPr>
              <w:keepNext w:val="0"/>
              <w:keepLines w:val="0"/>
              <w:widowControl/>
              <w:suppressLineNumbers w:val="0"/>
              <w:jc w:val="center"/>
              <w:textAlignment w:val="center"/>
              <w:rPr>
                <w:rFonts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608" w:type="dxa"/>
            <w:noWrap w:val="0"/>
            <w:vAlign w:val="center"/>
          </w:tcPr>
          <w:p>
            <w:pPr>
              <w:pStyle w:val="28"/>
              <w:spacing w:after="0" w:line="240" w:lineRule="auto"/>
              <w:ind w:right="113" w:rightChars="0" w:firstLine="0" w:firstLineChars="0"/>
              <w:jc w:val="center"/>
              <w:rPr>
                <w:rFonts w:hint="eastAsia"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lang w:val="en-US" w:eastAsia="zh-CN"/>
              </w:rPr>
              <w:t>6.2</w:t>
            </w:r>
          </w:p>
        </w:tc>
        <w:tc>
          <w:tcPr>
            <w:tcW w:w="1177" w:type="dxa"/>
            <w:noWrap w:val="0"/>
            <w:vAlign w:val="center"/>
          </w:tcPr>
          <w:p>
            <w:pPr>
              <w:keepNext w:val="0"/>
              <w:keepLines w:val="0"/>
              <w:widowControl/>
              <w:suppressLineNumbers w:val="0"/>
              <w:jc w:val="center"/>
              <w:textAlignment w:val="center"/>
              <w:rPr>
                <w:rFonts w:hint="eastAsia" w:eastAsia="宋体"/>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restart"/>
            <w:noWrap w:val="0"/>
            <w:vAlign w:val="center"/>
          </w:tcPr>
          <w:p>
            <w:pPr>
              <w:pStyle w:val="59"/>
              <w:spacing w:beforeLines="0" w:afterLines="0" w:line="240" w:lineRule="auto"/>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危险废物</w:t>
            </w:r>
          </w:p>
        </w:tc>
        <w:tc>
          <w:tcPr>
            <w:tcW w:w="1839" w:type="dxa"/>
            <w:noWrap w:val="0"/>
            <w:vAlign w:val="center"/>
          </w:tcPr>
          <w:p>
            <w:pPr>
              <w:pStyle w:val="2"/>
              <w:adjustRightInd/>
              <w:spacing w:before="0" w:line="240" w:lineRule="auto"/>
              <w:ind w:left="0" w:leftChars="0" w:right="0" w:rightChars="0" w:firstLine="0" w:firstLineChars="0"/>
              <w:jc w:val="center"/>
              <w:textAlignment w:val="auto"/>
              <w:rPr>
                <w:snapToGrid w:val="0"/>
                <w:color w:val="auto"/>
                <w:kern w:val="21"/>
                <w:szCs w:val="21"/>
              </w:rPr>
            </w:pPr>
            <w:r>
              <w:rPr>
                <w:rFonts w:hint="default" w:ascii="Times New Roman" w:hAnsi="Times New Roman" w:eastAsia="宋体" w:cs="Times New Roman"/>
                <w:color w:val="auto"/>
                <w:sz w:val="21"/>
                <w:szCs w:val="21"/>
              </w:rPr>
              <w:t>清</w:t>
            </w:r>
            <w:r>
              <w:rPr>
                <w:rFonts w:hint="default" w:ascii="Times New Roman" w:hAnsi="Times New Roman" w:eastAsia="宋体" w:cs="Times New Roman"/>
                <w:bCs/>
                <w:color w:val="auto"/>
                <w:sz w:val="21"/>
                <w:szCs w:val="21"/>
              </w:rPr>
              <w:t>洗</w:t>
            </w:r>
            <w:r>
              <w:rPr>
                <w:rFonts w:hint="default" w:ascii="Times New Roman" w:hAnsi="Times New Roman" w:eastAsia="宋体" w:cs="Times New Roman"/>
                <w:bCs/>
                <w:color w:val="auto"/>
                <w:sz w:val="21"/>
                <w:szCs w:val="21"/>
                <w:lang w:val="en-US" w:eastAsia="zh-CN"/>
              </w:rPr>
              <w:t>沉淀池</w:t>
            </w:r>
            <w:r>
              <w:rPr>
                <w:rFonts w:hint="default" w:ascii="Times New Roman" w:hAnsi="Times New Roman" w:eastAsia="宋体" w:cs="Times New Roman"/>
                <w:bCs/>
                <w:color w:val="auto"/>
                <w:sz w:val="21"/>
                <w:szCs w:val="21"/>
              </w:rPr>
              <w:t>浮油</w:t>
            </w:r>
          </w:p>
        </w:tc>
        <w:tc>
          <w:tcPr>
            <w:tcW w:w="1701"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bCs/>
                <w:color w:val="auto"/>
                <w:sz w:val="21"/>
                <w:szCs w:val="21"/>
              </w:rPr>
              <w:t>0.43</w:t>
            </w:r>
          </w:p>
        </w:tc>
        <w:tc>
          <w:tcPr>
            <w:tcW w:w="1276" w:type="dxa"/>
            <w:noWrap w:val="0"/>
            <w:vAlign w:val="center"/>
          </w:tcPr>
          <w:p>
            <w:pPr>
              <w:jc w:val="center"/>
              <w:rPr>
                <w:snapToGrid w:val="0"/>
                <w:color w:val="auto"/>
                <w:kern w:val="21"/>
                <w:szCs w:val="21"/>
              </w:rPr>
            </w:pPr>
            <w:r>
              <w:rPr>
                <w:snapToGrid w:val="0"/>
                <w:color w:val="auto"/>
                <w:kern w:val="21"/>
                <w:szCs w:val="21"/>
              </w:rPr>
              <w:t>/</w:t>
            </w:r>
          </w:p>
        </w:tc>
        <w:tc>
          <w:tcPr>
            <w:tcW w:w="1701" w:type="dxa"/>
            <w:noWrap w:val="0"/>
            <w:vAlign w:val="center"/>
          </w:tcPr>
          <w:p>
            <w:pPr>
              <w:adjustRightInd w:val="0"/>
              <w:snapToGrid w:val="0"/>
              <w:jc w:val="center"/>
              <w:rPr>
                <w:snapToGrid w:val="0"/>
                <w:color w:val="auto"/>
                <w:kern w:val="21"/>
                <w:szCs w:val="21"/>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snapToGrid w:val="0"/>
                <w:color w:val="auto"/>
                <w:kern w:val="21"/>
                <w:szCs w:val="21"/>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761" w:type="dxa"/>
            <w:noWrap w:val="0"/>
            <w:vAlign w:val="center"/>
          </w:tcPr>
          <w:p>
            <w:pPr>
              <w:keepNext w:val="0"/>
              <w:keepLines w:val="0"/>
              <w:widowControl/>
              <w:suppressLineNumbers w:val="0"/>
              <w:jc w:val="center"/>
              <w:textAlignment w:val="center"/>
              <w:rPr>
                <w:rFonts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0.17</w:t>
            </w:r>
          </w:p>
        </w:tc>
        <w:tc>
          <w:tcPr>
            <w:tcW w:w="1608"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26</w:t>
            </w:r>
          </w:p>
        </w:tc>
        <w:tc>
          <w:tcPr>
            <w:tcW w:w="1177"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pStyle w:val="28"/>
              <w:spacing w:after="0" w:line="240" w:lineRule="auto"/>
              <w:ind w:right="113" w:rightChars="0" w:firstLine="0" w:firstLineChars="0"/>
              <w:jc w:val="center"/>
              <w:rPr>
                <w:rFonts w:hint="default" w:ascii="Times New Roman" w:hAnsi="Times New Roman" w:eastAsia="宋体" w:cs="Times New Roman"/>
                <w:snapToGrid w:val="0"/>
                <w:color w:val="auto"/>
                <w:kern w:val="21"/>
                <w:sz w:val="28"/>
                <w:szCs w:val="21"/>
                <w:lang w:val="en-US" w:eastAsia="zh-CN" w:bidi="ar-SA"/>
              </w:rPr>
            </w:pPr>
            <w:r>
              <w:rPr>
                <w:rFonts w:hint="default" w:ascii="Times New Roman" w:hAnsi="Times New Roman" w:eastAsia="宋体" w:cs="Times New Roman"/>
                <w:bCs/>
                <w:color w:val="auto"/>
                <w:sz w:val="21"/>
                <w:szCs w:val="21"/>
              </w:rPr>
              <w:t>废过滤网</w:t>
            </w:r>
          </w:p>
        </w:tc>
        <w:tc>
          <w:tcPr>
            <w:tcW w:w="1701" w:type="dxa"/>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楷体_GB2312" w:cs="Times New Roman"/>
                <w:snapToGrid w:val="0"/>
                <w:color w:val="auto"/>
                <w:spacing w:val="-2"/>
                <w:kern w:val="21"/>
                <w:sz w:val="28"/>
                <w:szCs w:val="21"/>
                <w:lang w:val="en-US" w:eastAsia="zh-CN" w:bidi="ar-SA"/>
              </w:rPr>
            </w:pPr>
            <w:r>
              <w:rPr>
                <w:rFonts w:hint="default" w:ascii="Times New Roman" w:hAnsi="Times New Roman" w:eastAsia="宋体" w:cs="Times New Roman"/>
                <w:bCs/>
                <w:color w:val="auto"/>
                <w:sz w:val="21"/>
                <w:szCs w:val="21"/>
              </w:rPr>
              <w:t>3</w:t>
            </w:r>
          </w:p>
        </w:tc>
        <w:tc>
          <w:tcPr>
            <w:tcW w:w="1276" w:type="dxa"/>
            <w:noWrap w:val="0"/>
            <w:vAlign w:val="center"/>
          </w:tcPr>
          <w:p>
            <w:pPr>
              <w:jc w:val="center"/>
              <w:rPr>
                <w:rFonts w:ascii="Times New Roman" w:hAnsi="Times New Roman" w:eastAsia="宋体" w:cs="Times New Roman"/>
                <w:snapToGrid w:val="0"/>
                <w:color w:val="auto"/>
                <w:kern w:val="21"/>
                <w:sz w:val="21"/>
                <w:szCs w:val="21"/>
                <w:lang w:val="en-US" w:eastAsia="zh-CN" w:bidi="ar-SA"/>
              </w:rPr>
            </w:pPr>
            <w:r>
              <w:rPr>
                <w:snapToGrid w:val="0"/>
                <w:color w:val="auto"/>
                <w:kern w:val="21"/>
                <w:szCs w:val="21"/>
              </w:rPr>
              <w:t>/</w:t>
            </w:r>
          </w:p>
        </w:tc>
        <w:tc>
          <w:tcPr>
            <w:tcW w:w="1701" w:type="dxa"/>
            <w:noWrap w:val="0"/>
            <w:vAlign w:val="center"/>
          </w:tcPr>
          <w:p>
            <w:pPr>
              <w:spacing w:line="360" w:lineRule="exact"/>
              <w:jc w:val="center"/>
              <w:rPr>
                <w:rFonts w:hint="eastAsia" w:ascii="Times New Roman" w:hAnsi="Times New Roman" w:eastAsia="宋体" w:cs="Times New Roman"/>
                <w:snapToGrid w:val="0"/>
                <w:color w:val="auto"/>
                <w:kern w:val="21"/>
                <w:sz w:val="21"/>
                <w:szCs w:val="21"/>
                <w:lang w:val="en-US" w:eastAsia="zh-CN" w:bidi="ar-SA"/>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1608" w:type="dxa"/>
            <w:noWrap w:val="0"/>
            <w:vAlign w:val="center"/>
          </w:tcPr>
          <w:p>
            <w:pPr>
              <w:pStyle w:val="2"/>
              <w:adjustRightInd/>
              <w:spacing w:before="0" w:line="240" w:lineRule="auto"/>
              <w:ind w:left="0" w:leftChars="0" w:right="0" w:rightChars="0" w:firstLine="0" w:firstLineChars="0"/>
              <w:jc w:val="center"/>
              <w:textAlignment w:val="auto"/>
              <w:rPr>
                <w:rFonts w:hint="default" w:ascii="Times New Roman" w:hAnsi="Times New Roman" w:eastAsia="楷体_GB2312" w:cs="Times New Roman"/>
                <w:snapToGrid w:val="0"/>
                <w:color w:val="auto"/>
                <w:spacing w:val="-2"/>
                <w:kern w:val="21"/>
                <w:sz w:val="28"/>
                <w:szCs w:val="21"/>
                <w:lang w:val="en-US" w:eastAsia="zh-CN" w:bidi="ar-SA"/>
              </w:rPr>
            </w:pPr>
            <w:r>
              <w:rPr>
                <w:rFonts w:hint="default" w:ascii="Times New Roman" w:hAnsi="Times New Roman" w:eastAsia="宋体" w:cs="Times New Roman"/>
                <w:bCs/>
                <w:color w:val="auto"/>
                <w:sz w:val="21"/>
                <w:szCs w:val="21"/>
              </w:rPr>
              <w:t>3</w:t>
            </w:r>
          </w:p>
        </w:tc>
        <w:tc>
          <w:tcPr>
            <w:tcW w:w="11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jc w:val="center"/>
              <w:rPr>
                <w:snapToGrid w:val="0"/>
                <w:color w:val="auto"/>
                <w:kern w:val="21"/>
                <w:szCs w:val="21"/>
              </w:rPr>
            </w:pPr>
            <w:r>
              <w:rPr>
                <w:rFonts w:hint="default" w:ascii="Times New Roman" w:hAnsi="Times New Roman" w:eastAsia="宋体" w:cs="Times New Roman"/>
                <w:color w:val="auto"/>
                <w:sz w:val="21"/>
                <w:szCs w:val="21"/>
              </w:rPr>
              <w:t>废UV灯管</w:t>
            </w:r>
          </w:p>
        </w:tc>
        <w:tc>
          <w:tcPr>
            <w:tcW w:w="1701"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rPr>
              <w:t>0.008</w:t>
            </w:r>
          </w:p>
        </w:tc>
        <w:tc>
          <w:tcPr>
            <w:tcW w:w="1276" w:type="dxa"/>
            <w:noWrap w:val="0"/>
            <w:vAlign w:val="center"/>
          </w:tcPr>
          <w:p>
            <w:pPr>
              <w:jc w:val="center"/>
              <w:rPr>
                <w:snapToGrid w:val="0"/>
                <w:color w:val="auto"/>
                <w:kern w:val="21"/>
                <w:szCs w:val="21"/>
              </w:rPr>
            </w:pPr>
            <w:r>
              <w:rPr>
                <w:snapToGrid w:val="0"/>
                <w:color w:val="auto"/>
                <w:kern w:val="21"/>
                <w:szCs w:val="21"/>
              </w:rPr>
              <w:t>/</w:t>
            </w:r>
          </w:p>
        </w:tc>
        <w:tc>
          <w:tcPr>
            <w:tcW w:w="1701" w:type="dxa"/>
            <w:noWrap w:val="0"/>
            <w:vAlign w:val="center"/>
          </w:tcPr>
          <w:p>
            <w:pPr>
              <w:adjustRightInd w:val="0"/>
              <w:snapToGrid w:val="0"/>
              <w:jc w:val="center"/>
              <w:rPr>
                <w:snapToGrid w:val="0"/>
                <w:color w:val="auto"/>
                <w:kern w:val="21"/>
                <w:szCs w:val="21"/>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761" w:type="dxa"/>
            <w:noWrap w:val="0"/>
            <w:vAlign w:val="center"/>
          </w:tcPr>
          <w:p>
            <w:pPr>
              <w:keepNext w:val="0"/>
              <w:keepLines w:val="0"/>
              <w:widowControl/>
              <w:suppressLineNumbers w:val="0"/>
              <w:jc w:val="center"/>
              <w:textAlignment w:val="center"/>
              <w:rPr>
                <w:rFonts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608"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rPr>
              <w:t>0.008</w:t>
            </w:r>
          </w:p>
        </w:tc>
        <w:tc>
          <w:tcPr>
            <w:tcW w:w="1177"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jc w:val="center"/>
              <w:rPr>
                <w:snapToGrid w:val="0"/>
                <w:color w:val="auto"/>
                <w:kern w:val="21"/>
                <w:szCs w:val="21"/>
              </w:rPr>
            </w:pPr>
            <w:r>
              <w:rPr>
                <w:rFonts w:hint="default" w:ascii="Times New Roman" w:hAnsi="Times New Roman" w:eastAsia="宋体" w:cs="Times New Roman"/>
                <w:bCs/>
                <w:color w:val="auto"/>
                <w:sz w:val="21"/>
                <w:szCs w:val="21"/>
              </w:rPr>
              <w:t>废油桶</w:t>
            </w:r>
          </w:p>
        </w:tc>
        <w:tc>
          <w:tcPr>
            <w:tcW w:w="1701"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lang w:val="en-US" w:eastAsia="zh-CN"/>
              </w:rPr>
              <w:t>0.3</w:t>
            </w:r>
          </w:p>
        </w:tc>
        <w:tc>
          <w:tcPr>
            <w:tcW w:w="1276" w:type="dxa"/>
            <w:noWrap w:val="0"/>
            <w:vAlign w:val="center"/>
          </w:tcPr>
          <w:p>
            <w:pPr>
              <w:jc w:val="center"/>
              <w:rPr>
                <w:snapToGrid w:val="0"/>
                <w:color w:val="auto"/>
                <w:kern w:val="21"/>
                <w:szCs w:val="21"/>
              </w:rPr>
            </w:pPr>
            <w:r>
              <w:rPr>
                <w:snapToGrid w:val="0"/>
                <w:color w:val="auto"/>
                <w:kern w:val="21"/>
                <w:szCs w:val="21"/>
              </w:rPr>
              <w:t>/</w:t>
            </w:r>
          </w:p>
        </w:tc>
        <w:tc>
          <w:tcPr>
            <w:tcW w:w="1701" w:type="dxa"/>
            <w:noWrap w:val="0"/>
            <w:vAlign w:val="center"/>
          </w:tcPr>
          <w:p>
            <w:pPr>
              <w:adjustRightInd w:val="0"/>
              <w:snapToGrid w:val="0"/>
              <w:jc w:val="center"/>
              <w:rPr>
                <w:snapToGrid w:val="0"/>
                <w:color w:val="auto"/>
                <w:kern w:val="21"/>
                <w:szCs w:val="21"/>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1761" w:type="dxa"/>
            <w:noWrap w:val="0"/>
            <w:vAlign w:val="center"/>
          </w:tcPr>
          <w:p>
            <w:pPr>
              <w:keepNext w:val="0"/>
              <w:keepLines w:val="0"/>
              <w:widowControl/>
              <w:suppressLineNumbers w:val="0"/>
              <w:jc w:val="center"/>
              <w:textAlignment w:val="center"/>
              <w:rPr>
                <w:rFonts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608"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lang w:val="en-US" w:eastAsia="zh-CN"/>
              </w:rPr>
              <w:t>0.3</w:t>
            </w:r>
          </w:p>
        </w:tc>
        <w:tc>
          <w:tcPr>
            <w:tcW w:w="1177" w:type="dxa"/>
            <w:noWrap w:val="0"/>
            <w:vAlign w:val="center"/>
          </w:tcPr>
          <w:p>
            <w:pPr>
              <w:keepNext w:val="0"/>
              <w:keepLines w:val="0"/>
              <w:widowControl/>
              <w:suppressLineNumbers w:val="0"/>
              <w:jc w:val="center"/>
              <w:textAlignment w:val="center"/>
              <w:rPr>
                <w:rFonts w:hint="eastAsia" w:eastAsia="宋体"/>
                <w:snapToGrid w:val="0"/>
                <w:color w:val="auto"/>
                <w:kern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6" w:type="dxa"/>
            <w:vMerge w:val="continue"/>
            <w:noWrap w:val="0"/>
            <w:vAlign w:val="center"/>
          </w:tcPr>
          <w:p>
            <w:pPr>
              <w:pStyle w:val="59"/>
              <w:spacing w:beforeLines="0" w:afterLines="0" w:line="240" w:lineRule="auto"/>
              <w:rPr>
                <w:rFonts w:ascii="Times New Roman" w:hAnsi="Times New Roman" w:cs="Times New Roman"/>
                <w:snapToGrid w:val="0"/>
                <w:color w:val="auto"/>
                <w:kern w:val="21"/>
                <w:szCs w:val="21"/>
              </w:rPr>
            </w:pPr>
          </w:p>
        </w:tc>
        <w:tc>
          <w:tcPr>
            <w:tcW w:w="1839" w:type="dxa"/>
            <w:noWrap w:val="0"/>
            <w:vAlign w:val="center"/>
          </w:tcPr>
          <w:p>
            <w:pPr>
              <w:jc w:val="center"/>
              <w:rPr>
                <w:snapToGrid w:val="0"/>
                <w:color w:val="auto"/>
                <w:kern w:val="21"/>
                <w:szCs w:val="21"/>
              </w:rPr>
            </w:pPr>
            <w:r>
              <w:rPr>
                <w:rFonts w:hint="default" w:ascii="Times New Roman" w:hAnsi="Times New Roman" w:eastAsia="宋体" w:cs="Times New Roman"/>
                <w:color w:val="auto"/>
                <w:sz w:val="21"/>
                <w:szCs w:val="21"/>
              </w:rPr>
              <w:t>废活性炭</w:t>
            </w:r>
          </w:p>
        </w:tc>
        <w:tc>
          <w:tcPr>
            <w:tcW w:w="1701"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lang w:val="en-US" w:eastAsia="zh-CN"/>
              </w:rPr>
              <w:t>21.87</w:t>
            </w:r>
          </w:p>
        </w:tc>
        <w:tc>
          <w:tcPr>
            <w:tcW w:w="1276" w:type="dxa"/>
            <w:noWrap w:val="0"/>
            <w:vAlign w:val="center"/>
          </w:tcPr>
          <w:p>
            <w:pPr>
              <w:jc w:val="center"/>
              <w:rPr>
                <w:snapToGrid w:val="0"/>
                <w:color w:val="auto"/>
                <w:kern w:val="21"/>
                <w:szCs w:val="21"/>
              </w:rPr>
            </w:pPr>
            <w:r>
              <w:rPr>
                <w:snapToGrid w:val="0"/>
                <w:color w:val="auto"/>
                <w:kern w:val="21"/>
                <w:szCs w:val="21"/>
              </w:rPr>
              <w:t>/</w:t>
            </w:r>
          </w:p>
        </w:tc>
        <w:tc>
          <w:tcPr>
            <w:tcW w:w="1701" w:type="dxa"/>
            <w:noWrap w:val="0"/>
            <w:vAlign w:val="center"/>
          </w:tcPr>
          <w:p>
            <w:pPr>
              <w:adjustRightInd w:val="0"/>
              <w:snapToGrid w:val="0"/>
              <w:jc w:val="center"/>
              <w:rPr>
                <w:rFonts w:hint="default"/>
                <w:snapToGrid w:val="0"/>
                <w:color w:val="auto"/>
                <w:kern w:val="21"/>
                <w:szCs w:val="21"/>
                <w:lang w:val="en-US"/>
              </w:rPr>
            </w:pPr>
            <w:r>
              <w:rPr>
                <w:rFonts w:hint="eastAsia"/>
                <w:color w:val="auto"/>
                <w:lang w:val="en-US" w:eastAsia="zh-CN"/>
              </w:rPr>
              <w:t>/</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761" w:type="dxa"/>
            <w:noWrap w:val="0"/>
            <w:vAlign w:val="center"/>
          </w:tcPr>
          <w:p>
            <w:pPr>
              <w:keepNext w:val="0"/>
              <w:keepLines w:val="0"/>
              <w:widowControl/>
              <w:suppressLineNumbers w:val="0"/>
              <w:jc w:val="center"/>
              <w:textAlignment w:val="center"/>
              <w:rPr>
                <w:rFonts w:hint="default" w:eastAsia="宋体"/>
                <w:snapToGrid w:val="0"/>
                <w:color w:val="auto"/>
                <w:kern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8.78</w:t>
            </w:r>
          </w:p>
        </w:tc>
        <w:tc>
          <w:tcPr>
            <w:tcW w:w="1608" w:type="dxa"/>
            <w:noWrap w:val="0"/>
            <w:vAlign w:val="center"/>
          </w:tcPr>
          <w:p>
            <w:pPr>
              <w:pStyle w:val="28"/>
              <w:spacing w:after="0" w:line="240" w:lineRule="auto"/>
              <w:ind w:right="113" w:rightChars="0" w:firstLine="0" w:firstLineChars="0"/>
              <w:jc w:val="center"/>
              <w:rPr>
                <w:rFonts w:ascii="Times New Roman" w:hAnsi="Times New Roman" w:cs="Times New Roman"/>
                <w:snapToGrid w:val="0"/>
                <w:color w:val="auto"/>
                <w:kern w:val="21"/>
                <w:szCs w:val="21"/>
              </w:rPr>
            </w:pPr>
            <w:r>
              <w:rPr>
                <w:rFonts w:hint="default" w:ascii="Times New Roman" w:hAnsi="Times New Roman" w:eastAsia="宋体" w:cs="Times New Roman"/>
                <w:color w:val="auto"/>
                <w:sz w:val="21"/>
                <w:szCs w:val="21"/>
                <w:highlight w:val="none"/>
                <w:lang w:val="en-US" w:eastAsia="zh-CN"/>
              </w:rPr>
              <w:t>13.09</w:t>
            </w:r>
          </w:p>
        </w:tc>
        <w:tc>
          <w:tcPr>
            <w:tcW w:w="1177" w:type="dxa"/>
            <w:noWrap w:val="0"/>
            <w:vAlign w:val="center"/>
          </w:tcPr>
          <w:p>
            <w:pPr>
              <w:keepNext w:val="0"/>
              <w:keepLines w:val="0"/>
              <w:widowControl/>
              <w:suppressLineNumbers w:val="0"/>
              <w:jc w:val="center"/>
              <w:textAlignment w:val="center"/>
              <w:rPr>
                <w:rFonts w:hint="default" w:eastAsia="宋体"/>
                <w:snapToGrid w:val="0"/>
                <w:color w:val="auto"/>
                <w:kern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-8.78</w:t>
            </w:r>
          </w:p>
        </w:tc>
      </w:tr>
    </w:tbl>
    <w:p>
      <w:pPr>
        <w:rPr>
          <w:rFonts w:hAnsi="宋体"/>
          <w:snapToGrid w:val="0"/>
          <w:color w:val="auto"/>
          <w:spacing w:val="-6"/>
          <w:kern w:val="21"/>
          <w:szCs w:val="21"/>
        </w:rPr>
        <w:sectPr>
          <w:footerReference r:id="rId7" w:type="default"/>
          <w:pgSz w:w="16838" w:h="11906" w:orient="landscape"/>
          <w:pgMar w:top="1531" w:right="1701" w:bottom="1531" w:left="1701" w:header="851" w:footer="850" w:gutter="0"/>
          <w:pgBorders>
            <w:top w:val="none" w:sz="0" w:space="0"/>
            <w:left w:val="none" w:sz="0" w:space="0"/>
            <w:bottom w:val="none" w:sz="0" w:space="0"/>
            <w:right w:val="none" w:sz="0" w:space="0"/>
          </w:pgBorders>
          <w:cols w:space="720" w:num="1"/>
          <w:docGrid w:linePitch="312" w:charSpace="0"/>
        </w:sectPr>
      </w:pPr>
    </w:p>
    <w:p>
      <w:pPr>
        <w:spacing w:line="360" w:lineRule="auto"/>
        <w:ind w:firstLine="422" w:firstLineChars="200"/>
        <w:rPr>
          <w:rFonts w:hint="eastAsia"/>
          <w:b/>
          <w:bCs/>
          <w:color w:val="auto"/>
          <w:szCs w:val="24"/>
        </w:rPr>
      </w:pPr>
    </w:p>
    <w:p>
      <w:pPr>
        <w:spacing w:line="360" w:lineRule="auto"/>
        <w:ind w:firstLine="422" w:firstLineChars="200"/>
        <w:rPr>
          <w:rFonts w:hint="eastAsia"/>
          <w:b/>
          <w:bCs/>
          <w:color w:val="auto"/>
          <w:szCs w:val="24"/>
        </w:rPr>
      </w:pPr>
      <w:r>
        <w:rPr>
          <w:rFonts w:hint="eastAsia"/>
          <w:b/>
          <w:bCs/>
          <w:color w:val="auto"/>
          <w:szCs w:val="24"/>
        </w:rPr>
        <w:t>附图：</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附图1  项目地理位置图</w:t>
      </w:r>
    </w:p>
    <w:p>
      <w:pPr>
        <w:spacing w:line="360" w:lineRule="auto"/>
        <w:ind w:firstLine="420" w:firstLineChars="200"/>
        <w:rPr>
          <w:rFonts w:hint="default" w:ascii="Times New Roman" w:hAnsi="Times New Roman" w:eastAsia="宋体"/>
          <w:color w:val="auto"/>
          <w:szCs w:val="24"/>
          <w:lang w:val="en-US" w:eastAsia="zh-CN"/>
        </w:rPr>
      </w:pPr>
      <w:r>
        <w:rPr>
          <w:rFonts w:ascii="Times New Roman" w:hAnsi="Times New Roman"/>
          <w:color w:val="auto"/>
          <w:szCs w:val="24"/>
        </w:rPr>
        <w:t>附图2  项目外环境关系图</w:t>
      </w:r>
      <w:r>
        <w:rPr>
          <w:rFonts w:hint="eastAsia" w:ascii="Times New Roman" w:hAnsi="Times New Roman"/>
          <w:color w:val="auto"/>
          <w:szCs w:val="24"/>
          <w:lang w:val="en-US" w:eastAsia="zh-CN"/>
        </w:rPr>
        <w:t>及卫生防护距离图</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附图3</w:t>
      </w:r>
      <w:r>
        <w:rPr>
          <w:rFonts w:hint="eastAsia" w:ascii="Times New Roman" w:hAnsi="Times New Roman"/>
          <w:color w:val="auto"/>
          <w:szCs w:val="24"/>
          <w:lang w:val="en-US" w:eastAsia="zh-CN"/>
        </w:rPr>
        <w:t>-1</w:t>
      </w:r>
      <w:r>
        <w:rPr>
          <w:rFonts w:ascii="Times New Roman" w:hAnsi="Times New Roman"/>
          <w:color w:val="auto"/>
          <w:szCs w:val="24"/>
        </w:rPr>
        <w:t xml:space="preserve">  </w:t>
      </w:r>
      <w:r>
        <w:rPr>
          <w:rFonts w:hint="eastAsia" w:ascii="Times New Roman" w:hAnsi="Times New Roman"/>
          <w:color w:val="auto"/>
          <w:szCs w:val="24"/>
          <w:lang w:val="en-US" w:eastAsia="zh-CN"/>
        </w:rPr>
        <w:t>原项目</w:t>
      </w:r>
      <w:r>
        <w:rPr>
          <w:rFonts w:ascii="Times New Roman" w:hAnsi="Times New Roman"/>
          <w:color w:val="auto"/>
          <w:szCs w:val="24"/>
        </w:rPr>
        <w:t>平面布置及分区防渗图</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附图3</w:t>
      </w:r>
      <w:r>
        <w:rPr>
          <w:rFonts w:hint="eastAsia" w:ascii="Times New Roman" w:hAnsi="Times New Roman"/>
          <w:color w:val="auto"/>
          <w:szCs w:val="24"/>
          <w:lang w:val="en-US" w:eastAsia="zh-CN"/>
        </w:rPr>
        <w:t>-2</w:t>
      </w:r>
      <w:r>
        <w:rPr>
          <w:rFonts w:ascii="Times New Roman" w:hAnsi="Times New Roman"/>
          <w:color w:val="auto"/>
          <w:szCs w:val="24"/>
        </w:rPr>
        <w:t xml:space="preserve">  项目</w:t>
      </w:r>
      <w:r>
        <w:rPr>
          <w:rFonts w:hint="eastAsia" w:ascii="Times New Roman" w:hAnsi="Times New Roman"/>
          <w:color w:val="auto"/>
          <w:szCs w:val="24"/>
          <w:lang w:val="en-US" w:eastAsia="zh-CN"/>
        </w:rPr>
        <w:t>技改后</w:t>
      </w:r>
      <w:r>
        <w:rPr>
          <w:rFonts w:ascii="Times New Roman" w:hAnsi="Times New Roman"/>
          <w:color w:val="auto"/>
          <w:szCs w:val="24"/>
        </w:rPr>
        <w:t>平面布置及分区防渗图</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附图3</w:t>
      </w:r>
      <w:r>
        <w:rPr>
          <w:rFonts w:hint="eastAsia" w:ascii="Times New Roman" w:hAnsi="Times New Roman"/>
          <w:color w:val="auto"/>
          <w:szCs w:val="24"/>
          <w:lang w:val="en-US" w:eastAsia="zh-CN"/>
        </w:rPr>
        <w:t>-3</w:t>
      </w:r>
      <w:r>
        <w:rPr>
          <w:rFonts w:ascii="Times New Roman" w:hAnsi="Times New Roman"/>
          <w:color w:val="auto"/>
          <w:szCs w:val="24"/>
        </w:rPr>
        <w:t xml:space="preserve">  项目</w:t>
      </w:r>
      <w:r>
        <w:rPr>
          <w:rFonts w:hint="eastAsia" w:ascii="Times New Roman" w:hAnsi="Times New Roman"/>
          <w:color w:val="auto"/>
          <w:szCs w:val="24"/>
          <w:lang w:val="en-US" w:eastAsia="zh-CN"/>
        </w:rPr>
        <w:t>雨水污水管线</w:t>
      </w:r>
      <w:r>
        <w:rPr>
          <w:rFonts w:ascii="Times New Roman" w:hAnsi="Times New Roman"/>
          <w:color w:val="auto"/>
          <w:szCs w:val="24"/>
        </w:rPr>
        <w:t>图</w:t>
      </w:r>
    </w:p>
    <w:p>
      <w:pPr>
        <w:spacing w:line="360" w:lineRule="auto"/>
        <w:ind w:firstLine="420" w:firstLineChars="200"/>
        <w:rPr>
          <w:rFonts w:ascii="Times New Roman" w:hAnsi="Times New Roman"/>
          <w:color w:val="auto"/>
        </w:rPr>
      </w:pPr>
      <w:r>
        <w:rPr>
          <w:rFonts w:ascii="Times New Roman" w:hAnsi="Times New Roman"/>
          <w:color w:val="auto"/>
          <w:szCs w:val="24"/>
        </w:rPr>
        <w:t>附图</w:t>
      </w:r>
      <w:r>
        <w:rPr>
          <w:rFonts w:hint="eastAsia" w:ascii="Times New Roman" w:hAnsi="Times New Roman"/>
          <w:color w:val="auto"/>
          <w:szCs w:val="24"/>
          <w:lang w:val="en-US" w:eastAsia="zh-CN"/>
        </w:rPr>
        <w:t>6</w:t>
      </w:r>
      <w:r>
        <w:rPr>
          <w:rFonts w:ascii="Times New Roman" w:hAnsi="Times New Roman"/>
          <w:color w:val="auto"/>
          <w:szCs w:val="24"/>
        </w:rPr>
        <w:t xml:space="preserve">  犍为新型工业基地规划布局图</w:t>
      </w:r>
    </w:p>
    <w:p>
      <w:pPr>
        <w:spacing w:line="360" w:lineRule="auto"/>
        <w:ind w:firstLine="422" w:firstLineChars="200"/>
        <w:rPr>
          <w:rFonts w:ascii="Times New Roman" w:hAnsi="Times New Roman"/>
          <w:b/>
          <w:bCs/>
          <w:color w:val="auto"/>
          <w:szCs w:val="24"/>
        </w:rPr>
      </w:pPr>
    </w:p>
    <w:p>
      <w:pPr>
        <w:spacing w:line="360" w:lineRule="auto"/>
        <w:ind w:firstLine="422" w:firstLineChars="200"/>
        <w:rPr>
          <w:rFonts w:ascii="Times New Roman" w:hAnsi="Times New Roman"/>
          <w:b/>
          <w:bCs/>
          <w:color w:val="auto"/>
          <w:szCs w:val="24"/>
        </w:rPr>
      </w:pPr>
      <w:r>
        <w:rPr>
          <w:rFonts w:ascii="Times New Roman" w:hAnsi="Times New Roman"/>
          <w:b/>
          <w:bCs/>
          <w:color w:val="auto"/>
          <w:szCs w:val="24"/>
        </w:rPr>
        <w:t>附件：</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附件1  项目委托书</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附件2  备案证明</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附件3  营业执照及</w:t>
      </w:r>
    </w:p>
    <w:p>
      <w:pPr>
        <w:spacing w:line="360" w:lineRule="auto"/>
        <w:ind w:firstLine="420" w:firstLineChars="200"/>
        <w:rPr>
          <w:rFonts w:ascii="Times New Roman" w:hAnsi="Times New Roman"/>
          <w:color w:val="auto"/>
          <w:szCs w:val="24"/>
        </w:rPr>
      </w:pPr>
      <w:r>
        <w:rPr>
          <w:rFonts w:hint="eastAsia" w:ascii="Times New Roman" w:hAnsi="Times New Roman"/>
          <w:color w:val="auto"/>
          <w:szCs w:val="24"/>
        </w:rPr>
        <w:t xml:space="preserve">附件4  </w:t>
      </w:r>
      <w:r>
        <w:rPr>
          <w:rFonts w:ascii="Times New Roman" w:hAnsi="Times New Roman"/>
          <w:color w:val="auto"/>
          <w:szCs w:val="24"/>
        </w:rPr>
        <w:t>法人身份证复印件</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附件5  入园证明</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附件6  生活污水处理说明</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附件7  公司名称变更说明</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附件8  不动产权证</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附件9  投资协议书</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附件10  监测报告</w:t>
      </w:r>
    </w:p>
    <w:p>
      <w:pPr>
        <w:spacing w:line="360" w:lineRule="auto"/>
        <w:ind w:firstLine="420" w:firstLineChars="200"/>
        <w:rPr>
          <w:rFonts w:ascii="Times New Roman" w:hAnsi="Times New Roman"/>
          <w:color w:val="auto"/>
          <w:szCs w:val="24"/>
        </w:rPr>
      </w:pPr>
      <w:r>
        <w:rPr>
          <w:rFonts w:ascii="Times New Roman" w:hAnsi="Times New Roman"/>
          <w:color w:val="auto"/>
          <w:szCs w:val="24"/>
        </w:rPr>
        <w:t xml:space="preserve">附件11  </w:t>
      </w:r>
      <w:r>
        <w:rPr>
          <w:rFonts w:hint="eastAsia" w:ascii="Times New Roman" w:hAnsi="Times New Roman"/>
          <w:color w:val="auto"/>
          <w:szCs w:val="24"/>
          <w:lang w:eastAsia="zh-CN"/>
        </w:rPr>
        <w:t>原项目</w:t>
      </w:r>
      <w:r>
        <w:rPr>
          <w:rFonts w:hint="eastAsia" w:ascii="Times New Roman" w:hAnsi="Times New Roman"/>
          <w:color w:val="auto"/>
          <w:szCs w:val="24"/>
          <w:lang w:val="en-US" w:eastAsia="zh-CN"/>
        </w:rPr>
        <w:t>污染物排放</w:t>
      </w:r>
      <w:r>
        <w:rPr>
          <w:rFonts w:ascii="Times New Roman" w:hAnsi="Times New Roman"/>
          <w:color w:val="auto"/>
          <w:szCs w:val="24"/>
        </w:rPr>
        <w:t>监测报告</w:t>
      </w:r>
    </w:p>
    <w:p>
      <w:pPr>
        <w:spacing w:line="360" w:lineRule="auto"/>
        <w:ind w:firstLine="420" w:firstLineChars="200"/>
        <w:rPr>
          <w:rFonts w:ascii="Times New Roman" w:hAnsi="Times New Roman"/>
          <w:color w:val="auto"/>
          <w:szCs w:val="24"/>
        </w:rPr>
      </w:pPr>
      <w:r>
        <w:rPr>
          <w:rFonts w:ascii="Times New Roman" w:hAnsi="Times New Roman"/>
          <w:color w:val="auto"/>
          <w:szCs w:val="24"/>
        </w:rPr>
        <w:t xml:space="preserve">附件12  </w:t>
      </w:r>
      <w:r>
        <w:rPr>
          <w:rFonts w:hint="eastAsia" w:ascii="Times New Roman" w:hAnsi="Times New Roman"/>
          <w:color w:val="auto"/>
          <w:szCs w:val="24"/>
          <w:lang w:eastAsia="zh-CN"/>
        </w:rPr>
        <w:t>原项目</w:t>
      </w:r>
      <w:r>
        <w:rPr>
          <w:rFonts w:ascii="Times New Roman" w:hAnsi="Times New Roman"/>
          <w:color w:val="auto"/>
          <w:szCs w:val="24"/>
        </w:rPr>
        <w:t>原环评批复</w:t>
      </w:r>
    </w:p>
    <w:p>
      <w:pPr>
        <w:spacing w:line="360" w:lineRule="auto"/>
        <w:ind w:firstLine="420" w:firstLineChars="200"/>
        <w:rPr>
          <w:rFonts w:ascii="Times New Roman" w:hAnsi="Times New Roman"/>
          <w:color w:val="auto"/>
          <w:szCs w:val="24"/>
        </w:rPr>
      </w:pPr>
      <w:r>
        <w:rPr>
          <w:rFonts w:ascii="Times New Roman" w:hAnsi="Times New Roman"/>
          <w:color w:val="auto"/>
          <w:szCs w:val="24"/>
        </w:rPr>
        <w:t xml:space="preserve">附件13  </w:t>
      </w:r>
      <w:r>
        <w:rPr>
          <w:rFonts w:hint="eastAsia" w:ascii="Times New Roman" w:hAnsi="Times New Roman"/>
          <w:color w:val="auto"/>
          <w:szCs w:val="24"/>
          <w:lang w:val="en-US" w:eastAsia="zh-CN"/>
        </w:rPr>
        <w:t>原项目</w:t>
      </w:r>
      <w:r>
        <w:rPr>
          <w:rFonts w:ascii="Times New Roman" w:hAnsi="Times New Roman"/>
          <w:color w:val="auto"/>
          <w:szCs w:val="24"/>
        </w:rPr>
        <w:t>验收意见</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附件14  现有工程排污许可证</w:t>
      </w:r>
    </w:p>
    <w:p>
      <w:pPr>
        <w:spacing w:line="360" w:lineRule="auto"/>
        <w:ind w:firstLine="420" w:firstLineChars="200"/>
        <w:rPr>
          <w:rFonts w:hint="default" w:ascii="Times New Roman" w:hAnsi="Times New Roman" w:eastAsia="宋体"/>
          <w:color w:val="auto"/>
          <w:szCs w:val="24"/>
          <w:lang w:val="en-US" w:eastAsia="zh-CN"/>
        </w:rPr>
      </w:pPr>
      <w:r>
        <w:rPr>
          <w:rFonts w:ascii="Times New Roman" w:hAnsi="Times New Roman"/>
          <w:color w:val="auto"/>
          <w:szCs w:val="24"/>
        </w:rPr>
        <w:t xml:space="preserve">附件15  </w:t>
      </w:r>
      <w:r>
        <w:rPr>
          <w:rFonts w:hint="eastAsia" w:ascii="Times New Roman" w:hAnsi="Times New Roman"/>
          <w:color w:val="auto"/>
          <w:szCs w:val="24"/>
          <w:lang w:val="en-US" w:eastAsia="zh-CN"/>
        </w:rPr>
        <w:t>房屋租赁协议</w:t>
      </w:r>
    </w:p>
    <w:p>
      <w:pPr>
        <w:spacing w:line="360" w:lineRule="auto"/>
        <w:ind w:firstLine="420" w:firstLineChars="200"/>
        <w:rPr>
          <w:rFonts w:ascii="Times New Roman" w:hAnsi="Times New Roman"/>
          <w:color w:val="auto"/>
          <w:szCs w:val="24"/>
        </w:rPr>
      </w:pPr>
      <w:r>
        <w:rPr>
          <w:rFonts w:ascii="Times New Roman" w:hAnsi="Times New Roman"/>
          <w:color w:val="auto"/>
          <w:szCs w:val="24"/>
        </w:rPr>
        <w:t>附件16  关于犍为新型工业基地规划范围生态红线核实情况的函</w:t>
      </w:r>
    </w:p>
    <w:p>
      <w:pPr>
        <w:spacing w:line="360" w:lineRule="auto"/>
        <w:ind w:firstLine="420" w:firstLineChars="200"/>
        <w:rPr>
          <w:rFonts w:hint="eastAsia" w:ascii="Times New Roman" w:hAnsi="Times New Roman"/>
          <w:color w:val="auto"/>
          <w:szCs w:val="24"/>
          <w:lang w:val="en-US" w:eastAsia="zh-CN"/>
        </w:rPr>
      </w:pPr>
      <w:r>
        <w:rPr>
          <w:rFonts w:ascii="Times New Roman" w:hAnsi="Times New Roman"/>
          <w:color w:val="auto"/>
          <w:szCs w:val="24"/>
        </w:rPr>
        <w:t>附件17  犍为新型工业基地审查意</w:t>
      </w:r>
      <w:r>
        <w:rPr>
          <w:rFonts w:hint="eastAsia" w:ascii="Times New Roman" w:hAnsi="Times New Roman"/>
          <w:color w:val="auto"/>
          <w:szCs w:val="24"/>
          <w:lang w:val="en-US" w:eastAsia="zh-CN"/>
        </w:rPr>
        <w:t>见</w:t>
      </w:r>
    </w:p>
    <w:p>
      <w:pPr>
        <w:spacing w:line="360" w:lineRule="auto"/>
        <w:ind w:firstLine="42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附件18  危废处理协议及转运联单</w:t>
      </w:r>
    </w:p>
    <w:p>
      <w:pPr>
        <w:spacing w:line="360" w:lineRule="auto"/>
        <w:ind w:firstLine="42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附件19  取水许可</w:t>
      </w:r>
    </w:p>
    <w:p>
      <w:pPr>
        <w:spacing w:line="360" w:lineRule="auto"/>
        <w:ind w:firstLine="42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附件20  污泥转运协议</w:t>
      </w:r>
    </w:p>
    <w:p>
      <w:pPr>
        <w:spacing w:line="360" w:lineRule="auto"/>
        <w:ind w:firstLine="420" w:firstLineChars="20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附件21  专家意见</w:t>
      </w:r>
    </w:p>
    <w:p>
      <w:pPr>
        <w:spacing w:line="360" w:lineRule="auto"/>
        <w:ind w:firstLine="420" w:firstLineChars="200"/>
        <w:rPr>
          <w:rFonts w:hint="default"/>
          <w:lang w:val="en-US"/>
        </w:rPr>
      </w:pPr>
      <w:r>
        <w:rPr>
          <w:rFonts w:hint="eastAsia" w:ascii="Times New Roman" w:hAnsi="Times New Roman" w:eastAsia="宋体" w:cs="Times New Roman"/>
          <w:color w:val="auto"/>
          <w:szCs w:val="24"/>
          <w:lang w:val="en-US" w:eastAsia="zh-CN"/>
        </w:rPr>
        <w:t>附件2</w:t>
      </w:r>
      <w:r>
        <w:rPr>
          <w:rFonts w:hint="eastAsia" w:cs="Times New Roman"/>
          <w:color w:val="auto"/>
          <w:szCs w:val="24"/>
          <w:lang w:val="en-US" w:eastAsia="zh-CN"/>
        </w:rPr>
        <w:t>2</w:t>
      </w:r>
      <w:r>
        <w:rPr>
          <w:rFonts w:hint="eastAsia" w:ascii="Times New Roman" w:hAnsi="Times New Roman" w:eastAsia="宋体" w:cs="Times New Roman"/>
          <w:color w:val="auto"/>
          <w:szCs w:val="24"/>
          <w:lang w:val="en-US" w:eastAsia="zh-CN"/>
        </w:rPr>
        <w:t xml:space="preserve">  专家</w:t>
      </w:r>
      <w:r>
        <w:rPr>
          <w:rFonts w:hint="eastAsia" w:cs="Times New Roman"/>
          <w:color w:val="auto"/>
          <w:szCs w:val="24"/>
          <w:lang w:val="en-US" w:eastAsia="zh-CN"/>
        </w:rPr>
        <w:t>复核意见表</w:t>
      </w:r>
      <w:bookmarkStart w:id="2" w:name="_GoBack"/>
      <w:bookmarkEnd w:id="2"/>
    </w:p>
    <w:sectPr>
      <w:footerReference r:id="rId8" w:type="default"/>
      <w:pgSz w:w="11906" w:h="16838"/>
      <w:pgMar w:top="1701" w:right="1531" w:bottom="1701" w:left="1531" w:header="851" w:footer="850"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TimesNewRoman">
    <w:altName w:val="Times New Roman"/>
    <w:panose1 w:val="00000000000000000000"/>
    <w:charset w:val="00"/>
    <w:family w:val="roman"/>
    <w:pitch w:val="default"/>
    <w:sig w:usb0="00000000" w:usb1="00000000" w:usb2="00000000" w:usb3="00000000" w:csb0="00000001" w:csb1="00000000"/>
  </w:font>
  <w:font w:name="方正小标宋_GBK">
    <w:altName w:val="微软雅黑"/>
    <w:panose1 w:val="03000509000000000000"/>
    <w:charset w:val="86"/>
    <w:family w:val="script"/>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Noto Sans CJK JP Medium">
    <w:altName w:val="微软雅黑"/>
    <w:panose1 w:val="00000000000000000000"/>
    <w:charset w:val="00"/>
    <w:family w:val="swiss"/>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5"/>
        <w:rFonts w:ascii="宋体" w:hAnsi="宋体"/>
        <w:sz w:val="28"/>
        <w:szCs w:val="28"/>
      </w:rPr>
    </w:pPr>
  </w:p>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5"/>
      </w:rPr>
    </w:pPr>
    <w:r>
      <w:fldChar w:fldCharType="begin"/>
    </w:r>
    <w:r>
      <w:rPr>
        <w:rStyle w:val="35"/>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30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Style w:val="35"/>
                              <w:rFonts w:hint="default" w:ascii="Times New Roman" w:hAnsi="Times New Roman" w:cs="Times New Roman"/>
                              <w:sz w:val="20"/>
                            </w:rPr>
                            <w:t xml:space="preserve"> </w:t>
                          </w:r>
                          <w:r>
                            <w:rPr>
                              <w:rFonts w:hint="default" w:ascii="Times New Roman" w:hAnsi="Times New Roman" w:cs="Times New Roman"/>
                              <w:sz w:val="26"/>
                              <w:szCs w:val="26"/>
                            </w:rPr>
                            <w:fldChar w:fldCharType="begin"/>
                          </w:r>
                          <w:r>
                            <w:rPr>
                              <w:rStyle w:val="35"/>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5"/>
                              <w:rFonts w:hint="default" w:ascii="Times New Roman" w:hAnsi="Times New Roman" w:cs="Times New Roman"/>
                              <w:sz w:val="26"/>
                              <w:szCs w:val="26"/>
                            </w:rPr>
                            <w:t>25</w:t>
                          </w:r>
                          <w:r>
                            <w:rPr>
                              <w:rFonts w:hint="default" w:ascii="Times New Roman" w:hAnsi="Times New Roman" w:cs="Times New Roman"/>
                              <w:sz w:val="26"/>
                              <w:szCs w:val="26"/>
                            </w:rPr>
                            <w:fldChar w:fldCharType="end"/>
                          </w:r>
                          <w:r>
                            <w:rPr>
                              <w:rStyle w:val="35"/>
                              <w:rFonts w:hint="default" w:ascii="Times New Roman" w:hAnsi="Times New Roman" w:cs="Times New Roman"/>
                              <w:sz w:val="20"/>
                            </w:rPr>
                            <w:t xml:space="preserve"> </w:t>
                          </w:r>
                          <w:r>
                            <w:rPr>
                              <w:rStyle w:val="35"/>
                              <w:rFonts w:hint="eastAsia" w:ascii="宋体" w:hAnsi="宋体"/>
                              <w:sz w:val="20"/>
                            </w:rPr>
                            <w:t xml:space="preserve"> </w:t>
                          </w:r>
                          <w:r>
                            <w:rPr>
                              <w:rStyle w:val="35"/>
                              <w:rFonts w:hint="eastAsia" w:ascii="宋体" w:hAnsi="宋体"/>
                              <w:sz w:val="28"/>
                              <w:szCs w:val="28"/>
                            </w:rPr>
                            <w:t>—</w:t>
                          </w:r>
                        </w:p>
                      </w:txbxContent>
                    </wps:txbx>
                    <wps:bodyPr wrap="none" lIns="0" tIns="0" rIns="0" bIns="0" upright="0">
                      <a:spAutoFit/>
                    </wps:bodyPr>
                  </wps:wsp>
                </a:graphicData>
              </a:graphic>
            </wp:anchor>
          </w:drawing>
        </mc:Choice>
        <mc:Fallback>
          <w:pict>
            <v:shape id="文本框 307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798tcwBAACdAwAADgAAAGRycy9lMm9Eb2MueG1srVPNjtMwEL4j8Q6W&#10;79TZroAq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PIlJY5bnPj5+7fzj1/nn1/J&#10;dfX6OkvUB6gx8y5gbhre+gEXZ/YDOjPzQUWbv8iJYBwFPl0ElkMiIj9aLVerCkMCY/MF8dnD8xAh&#10;vZPekmw0NOIEi7D8+AHSmDqn5GrO32pjyhSN+8uBmNnDcu9jj9lKw26YCO18e0I+PQ6/oQ53nRLz&#10;3qG2eU9mI87GbjYOIep9VxYp14Pw5pCwidJbrjDCToVxaoXdtGF5Lf68l6yH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fv3y1zAEAAJ0DAAAOAAAAAAAAAAEAIAAAAB4BAABkcnMvZTJv&#10;RG9jLnhtbFBLBQYAAAAABgAGAFkBAABcBQAAAAA=&#10;">
              <v:fill on="f" focussize="0,0"/>
              <v:stroke on="f"/>
              <v:imagedata o:title=""/>
              <o:lock v:ext="edit" aspectratio="f"/>
              <v:textbox inset="0mm,0mm,0mm,0mm" style="mso-fit-shape-to-text:t;">
                <w:txbxContent>
                  <w:p>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Style w:val="35"/>
                        <w:rFonts w:hint="default" w:ascii="Times New Roman" w:hAnsi="Times New Roman" w:cs="Times New Roman"/>
                        <w:sz w:val="20"/>
                      </w:rPr>
                      <w:t xml:space="preserve"> </w:t>
                    </w:r>
                    <w:r>
                      <w:rPr>
                        <w:rFonts w:hint="default" w:ascii="Times New Roman" w:hAnsi="Times New Roman" w:cs="Times New Roman"/>
                        <w:sz w:val="26"/>
                        <w:szCs w:val="26"/>
                      </w:rPr>
                      <w:fldChar w:fldCharType="begin"/>
                    </w:r>
                    <w:r>
                      <w:rPr>
                        <w:rStyle w:val="35"/>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5"/>
                        <w:rFonts w:hint="default" w:ascii="Times New Roman" w:hAnsi="Times New Roman" w:cs="Times New Roman"/>
                        <w:sz w:val="26"/>
                        <w:szCs w:val="26"/>
                      </w:rPr>
                      <w:t>25</w:t>
                    </w:r>
                    <w:r>
                      <w:rPr>
                        <w:rFonts w:hint="default" w:ascii="Times New Roman" w:hAnsi="Times New Roman" w:cs="Times New Roman"/>
                        <w:sz w:val="26"/>
                        <w:szCs w:val="26"/>
                      </w:rPr>
                      <w:fldChar w:fldCharType="end"/>
                    </w:r>
                    <w:r>
                      <w:rPr>
                        <w:rStyle w:val="35"/>
                        <w:rFonts w:hint="default" w:ascii="Times New Roman" w:hAnsi="Times New Roman" w:cs="Times New Roman"/>
                        <w:sz w:val="20"/>
                      </w:rPr>
                      <w:t xml:space="preserve"> </w:t>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30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81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wrap="none" lIns="0" tIns="0" rIns="0" bIns="0" upright="0">
                      <a:spAutoFit/>
                    </wps:bodyPr>
                  </wps:wsp>
                </a:graphicData>
              </a:graphic>
            </wp:anchor>
          </w:drawing>
        </mc:Choice>
        <mc:Fallback>
          <w:pict>
            <v:shape id="文本框 307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Z/EtMwBAACdAwAADgAAAGRycy9lMm9Eb2MueG1srVPNjtMwEL4j8Q6W&#10;79TZroAq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PKaEsctTvz8/dv5x6/zz6/k&#10;unr9MkvUB6gx8y5gbhre+gEXZ/YDOjPzQUWbv8iJYBwFPl0ElkMiIj9aLVerCkMCY/MF8dnD8xAh&#10;vZPekmw0NOIEi7D8+AHSmDqn5GrO32pjyhSN+8uBmNnDcu9jj9lKw26YCO18e0I+PQ6/oQ53nRLz&#10;3qG2eU9mI87GbjYOIep9VxYp14Pw5pCwidJbrjDCToVxaoXdtGF5Lf68l6yH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hn8S0zAEAAJ0DAAAOAAAAAAAAAAEAIAAAAB4BAABkcnMvZTJv&#10;RG9jLnhtbFBLBQYAAAAABgAGAFkBAABcBQAAAAA=&#10;">
              <v:fill on="f" focussize="0,0"/>
              <v:stroke on="f"/>
              <v:imagedata o:title=""/>
              <o:lock v:ext="edit" aspectratio="f"/>
              <v:textbox inset="0mm,0mm,0mm,0mm" style="mso-fit-shape-to-text:t;">
                <w:txbxContent>
                  <w:p>
                    <w:pPr>
                      <w:pStyle w:val="22"/>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81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79469"/>
    <w:multiLevelType w:val="singleLevel"/>
    <w:tmpl w:val="82279469"/>
    <w:lvl w:ilvl="0" w:tentative="0">
      <w:start w:val="1"/>
      <w:numFmt w:val="decimal"/>
      <w:suff w:val="nothing"/>
      <w:lvlText w:val="（%1）"/>
      <w:lvlJc w:val="left"/>
      <w:rPr>
        <w:rFonts w:hint="default"/>
        <w:b w:val="0"/>
        <w:bCs w:val="0"/>
      </w:rPr>
    </w:lvl>
  </w:abstractNum>
  <w:abstractNum w:abstractNumId="1">
    <w:nsid w:val="922230A0"/>
    <w:multiLevelType w:val="singleLevel"/>
    <w:tmpl w:val="922230A0"/>
    <w:lvl w:ilvl="0" w:tentative="0">
      <w:start w:val="2"/>
      <w:numFmt w:val="decimal"/>
      <w:suff w:val="nothing"/>
      <w:lvlText w:val="%1、"/>
      <w:lvlJc w:val="left"/>
    </w:lvl>
  </w:abstractNum>
  <w:abstractNum w:abstractNumId="2">
    <w:nsid w:val="C2533811"/>
    <w:multiLevelType w:val="singleLevel"/>
    <w:tmpl w:val="C2533811"/>
    <w:lvl w:ilvl="0" w:tentative="0">
      <w:start w:val="5"/>
      <w:numFmt w:val="decimal"/>
      <w:suff w:val="nothing"/>
      <w:lvlText w:val="%1、"/>
      <w:lvlJc w:val="left"/>
    </w:lvl>
  </w:abstractNum>
  <w:abstractNum w:abstractNumId="3">
    <w:nsid w:val="C4CF1974"/>
    <w:multiLevelType w:val="singleLevel"/>
    <w:tmpl w:val="C4CF1974"/>
    <w:lvl w:ilvl="0" w:tentative="0">
      <w:start w:val="1"/>
      <w:numFmt w:val="decimal"/>
      <w:suff w:val="nothing"/>
      <w:lvlText w:val="%1、"/>
      <w:lvlJc w:val="left"/>
    </w:lvl>
  </w:abstractNum>
  <w:abstractNum w:abstractNumId="4">
    <w:nsid w:val="E60D4EDC"/>
    <w:multiLevelType w:val="singleLevel"/>
    <w:tmpl w:val="E60D4EDC"/>
    <w:lvl w:ilvl="0" w:tentative="0">
      <w:start w:val="3"/>
      <w:numFmt w:val="chineseCounting"/>
      <w:suff w:val="nothing"/>
      <w:lvlText w:val="%1、"/>
      <w:lvlJc w:val="left"/>
      <w:rPr>
        <w:rFonts w:hint="eastAsia"/>
      </w:rPr>
    </w:lvl>
  </w:abstractNum>
  <w:abstractNum w:abstractNumId="5">
    <w:nsid w:val="04A0DC42"/>
    <w:multiLevelType w:val="singleLevel"/>
    <w:tmpl w:val="04A0DC42"/>
    <w:lvl w:ilvl="0" w:tentative="0">
      <w:start w:val="1"/>
      <w:numFmt w:val="decimal"/>
      <w:suff w:val="nothing"/>
      <w:lvlText w:val="（%1）"/>
      <w:lvlJc w:val="left"/>
      <w:rPr>
        <w:rFonts w:hint="default"/>
        <w:b w:val="0"/>
        <w:bCs w:val="0"/>
      </w:rPr>
    </w:lvl>
  </w:abstractNum>
  <w:abstractNum w:abstractNumId="6">
    <w:nsid w:val="1B00FB9C"/>
    <w:multiLevelType w:val="singleLevel"/>
    <w:tmpl w:val="1B00FB9C"/>
    <w:lvl w:ilvl="0" w:tentative="0">
      <w:start w:val="1"/>
      <w:numFmt w:val="decimal"/>
      <w:lvlText w:val="%1."/>
      <w:lvlJc w:val="left"/>
      <w:pPr>
        <w:tabs>
          <w:tab w:val="left" w:pos="312"/>
        </w:tabs>
      </w:pPr>
    </w:lvl>
  </w:abstractNum>
  <w:abstractNum w:abstractNumId="7">
    <w:nsid w:val="3070A580"/>
    <w:multiLevelType w:val="singleLevel"/>
    <w:tmpl w:val="3070A580"/>
    <w:lvl w:ilvl="0" w:tentative="0">
      <w:start w:val="1"/>
      <w:numFmt w:val="decimal"/>
      <w:suff w:val="nothing"/>
      <w:lvlText w:val="（%1）"/>
      <w:lvlJc w:val="left"/>
      <w:pPr>
        <w:ind w:left="-60"/>
      </w:pPr>
    </w:lvl>
  </w:abstractNum>
  <w:abstractNum w:abstractNumId="8">
    <w:nsid w:val="3921D8EA"/>
    <w:multiLevelType w:val="singleLevel"/>
    <w:tmpl w:val="3921D8EA"/>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9">
    <w:nsid w:val="7EEDB01C"/>
    <w:multiLevelType w:val="singleLevel"/>
    <w:tmpl w:val="7EEDB01C"/>
    <w:lvl w:ilvl="0" w:tentative="0">
      <w:start w:val="6"/>
      <w:numFmt w:val="chineseCounting"/>
      <w:suff w:val="nothing"/>
      <w:lvlText w:val="%1、"/>
      <w:lvlJc w:val="left"/>
      <w:rPr>
        <w:rFonts w:hint="eastAsia"/>
      </w:rPr>
    </w:lvl>
  </w:abstractNum>
  <w:num w:numId="1">
    <w:abstractNumId w:val="8"/>
  </w:num>
  <w:num w:numId="2">
    <w:abstractNumId w:val="7"/>
  </w:num>
  <w:num w:numId="3">
    <w:abstractNumId w:val="6"/>
  </w:num>
  <w:num w:numId="4">
    <w:abstractNumId w:val="4"/>
  </w:num>
  <w:num w:numId="5">
    <w:abstractNumId w:val="9"/>
  </w:num>
  <w:num w:numId="6">
    <w:abstractNumId w:val="2"/>
  </w:num>
  <w:num w:numId="7">
    <w:abstractNumId w:val="5"/>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4NjQ1N2U2Y2NhN2QzZjQ3YzUzMzM4NmE4OTU0YTYifQ=="/>
  </w:docVars>
  <w:rsids>
    <w:rsidRoot w:val="00A14947"/>
    <w:rsid w:val="000060B3"/>
    <w:rsid w:val="0004364B"/>
    <w:rsid w:val="00061B1F"/>
    <w:rsid w:val="000733C4"/>
    <w:rsid w:val="00074783"/>
    <w:rsid w:val="0008070B"/>
    <w:rsid w:val="000810AC"/>
    <w:rsid w:val="00081A02"/>
    <w:rsid w:val="00082231"/>
    <w:rsid w:val="00090A77"/>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670DC"/>
    <w:rsid w:val="001747EC"/>
    <w:rsid w:val="0017504D"/>
    <w:rsid w:val="00175C1A"/>
    <w:rsid w:val="0017671A"/>
    <w:rsid w:val="00177422"/>
    <w:rsid w:val="00184590"/>
    <w:rsid w:val="001870D1"/>
    <w:rsid w:val="0018781E"/>
    <w:rsid w:val="0019262D"/>
    <w:rsid w:val="001A1B35"/>
    <w:rsid w:val="001A3943"/>
    <w:rsid w:val="001A48A2"/>
    <w:rsid w:val="001A6F61"/>
    <w:rsid w:val="001B72B8"/>
    <w:rsid w:val="001C69B3"/>
    <w:rsid w:val="001C705E"/>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02DF"/>
    <w:rsid w:val="00291773"/>
    <w:rsid w:val="002A168C"/>
    <w:rsid w:val="002A3DC7"/>
    <w:rsid w:val="002B49E2"/>
    <w:rsid w:val="002B7B00"/>
    <w:rsid w:val="002B7C44"/>
    <w:rsid w:val="002C2B17"/>
    <w:rsid w:val="002D3DD0"/>
    <w:rsid w:val="002E1F3A"/>
    <w:rsid w:val="002E298A"/>
    <w:rsid w:val="00301978"/>
    <w:rsid w:val="0030289A"/>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922DC"/>
    <w:rsid w:val="003A4BF3"/>
    <w:rsid w:val="003A7DBC"/>
    <w:rsid w:val="003B420D"/>
    <w:rsid w:val="003C6C16"/>
    <w:rsid w:val="003D794D"/>
    <w:rsid w:val="003E1D51"/>
    <w:rsid w:val="003E3058"/>
    <w:rsid w:val="003E76A9"/>
    <w:rsid w:val="003F0809"/>
    <w:rsid w:val="003F6A8C"/>
    <w:rsid w:val="003F755C"/>
    <w:rsid w:val="00406F01"/>
    <w:rsid w:val="004129D0"/>
    <w:rsid w:val="00416D50"/>
    <w:rsid w:val="00416FD5"/>
    <w:rsid w:val="00417772"/>
    <w:rsid w:val="00420E6A"/>
    <w:rsid w:val="00423A2A"/>
    <w:rsid w:val="00425A9E"/>
    <w:rsid w:val="00426D6B"/>
    <w:rsid w:val="00431E6C"/>
    <w:rsid w:val="00433CE7"/>
    <w:rsid w:val="00452738"/>
    <w:rsid w:val="00456091"/>
    <w:rsid w:val="004611EA"/>
    <w:rsid w:val="00466321"/>
    <w:rsid w:val="00484B9B"/>
    <w:rsid w:val="004855F6"/>
    <w:rsid w:val="0048661E"/>
    <w:rsid w:val="00494670"/>
    <w:rsid w:val="004A3823"/>
    <w:rsid w:val="004C7C09"/>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84119"/>
    <w:rsid w:val="00585752"/>
    <w:rsid w:val="00594D77"/>
    <w:rsid w:val="005969E4"/>
    <w:rsid w:val="005A06B7"/>
    <w:rsid w:val="005A1759"/>
    <w:rsid w:val="005A68A7"/>
    <w:rsid w:val="005D36AB"/>
    <w:rsid w:val="00617CC3"/>
    <w:rsid w:val="0062321F"/>
    <w:rsid w:val="006367BA"/>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571B0"/>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3181"/>
    <w:rsid w:val="007E4BD2"/>
    <w:rsid w:val="007F3EE5"/>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084F"/>
    <w:rsid w:val="008C2D01"/>
    <w:rsid w:val="008C40E6"/>
    <w:rsid w:val="008C5D8E"/>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776F2"/>
    <w:rsid w:val="00982438"/>
    <w:rsid w:val="0098404C"/>
    <w:rsid w:val="00985283"/>
    <w:rsid w:val="00995992"/>
    <w:rsid w:val="00997C28"/>
    <w:rsid w:val="009A03E5"/>
    <w:rsid w:val="009A0F3B"/>
    <w:rsid w:val="009A1BB4"/>
    <w:rsid w:val="009A2628"/>
    <w:rsid w:val="009A3200"/>
    <w:rsid w:val="009B0897"/>
    <w:rsid w:val="009B7BD9"/>
    <w:rsid w:val="009C7DD5"/>
    <w:rsid w:val="009D403F"/>
    <w:rsid w:val="009E20E9"/>
    <w:rsid w:val="009E227D"/>
    <w:rsid w:val="009E5019"/>
    <w:rsid w:val="009F0EDE"/>
    <w:rsid w:val="00A04F1B"/>
    <w:rsid w:val="00A0501B"/>
    <w:rsid w:val="00A14947"/>
    <w:rsid w:val="00A32A83"/>
    <w:rsid w:val="00A368DB"/>
    <w:rsid w:val="00A375BC"/>
    <w:rsid w:val="00A423AA"/>
    <w:rsid w:val="00A53EC6"/>
    <w:rsid w:val="00A55C0F"/>
    <w:rsid w:val="00A8713F"/>
    <w:rsid w:val="00A90BA1"/>
    <w:rsid w:val="00A942E6"/>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5E2A"/>
    <w:rsid w:val="00B1295A"/>
    <w:rsid w:val="00B16225"/>
    <w:rsid w:val="00B20A45"/>
    <w:rsid w:val="00B22C5C"/>
    <w:rsid w:val="00B24F30"/>
    <w:rsid w:val="00B31ABF"/>
    <w:rsid w:val="00B33BE3"/>
    <w:rsid w:val="00B53B5D"/>
    <w:rsid w:val="00B6055E"/>
    <w:rsid w:val="00B6317D"/>
    <w:rsid w:val="00B7723F"/>
    <w:rsid w:val="00B803FD"/>
    <w:rsid w:val="00B80534"/>
    <w:rsid w:val="00B8433C"/>
    <w:rsid w:val="00B87491"/>
    <w:rsid w:val="00BA29E9"/>
    <w:rsid w:val="00BA7142"/>
    <w:rsid w:val="00BB237C"/>
    <w:rsid w:val="00BB41A3"/>
    <w:rsid w:val="00BC1474"/>
    <w:rsid w:val="00BC32DC"/>
    <w:rsid w:val="00BC35B6"/>
    <w:rsid w:val="00BD1B51"/>
    <w:rsid w:val="00BD4596"/>
    <w:rsid w:val="00BE1405"/>
    <w:rsid w:val="00BE312D"/>
    <w:rsid w:val="00BF1C20"/>
    <w:rsid w:val="00C10578"/>
    <w:rsid w:val="00C135BC"/>
    <w:rsid w:val="00C15C95"/>
    <w:rsid w:val="00C212D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14C80"/>
    <w:rsid w:val="00D308ED"/>
    <w:rsid w:val="00D36D86"/>
    <w:rsid w:val="00D428AA"/>
    <w:rsid w:val="00D50A34"/>
    <w:rsid w:val="00D533A1"/>
    <w:rsid w:val="00D53EFA"/>
    <w:rsid w:val="00D82176"/>
    <w:rsid w:val="00D94A7C"/>
    <w:rsid w:val="00D95896"/>
    <w:rsid w:val="00DA6A88"/>
    <w:rsid w:val="00DB2983"/>
    <w:rsid w:val="00DC1257"/>
    <w:rsid w:val="00DC3DC0"/>
    <w:rsid w:val="00DC5B2B"/>
    <w:rsid w:val="00DD318D"/>
    <w:rsid w:val="00DD5834"/>
    <w:rsid w:val="00DE2E51"/>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A2FD6"/>
    <w:rsid w:val="00EA32C5"/>
    <w:rsid w:val="00EB5255"/>
    <w:rsid w:val="00EB5C47"/>
    <w:rsid w:val="00ED0639"/>
    <w:rsid w:val="00EF4755"/>
    <w:rsid w:val="00EF7135"/>
    <w:rsid w:val="00F027DB"/>
    <w:rsid w:val="00F066AF"/>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F1E43"/>
    <w:rsid w:val="0116655D"/>
    <w:rsid w:val="01290F7E"/>
    <w:rsid w:val="014E4FD3"/>
    <w:rsid w:val="01520954"/>
    <w:rsid w:val="015D1E09"/>
    <w:rsid w:val="016646FE"/>
    <w:rsid w:val="01AA163F"/>
    <w:rsid w:val="01BC50D6"/>
    <w:rsid w:val="02697903"/>
    <w:rsid w:val="02746D61"/>
    <w:rsid w:val="02865181"/>
    <w:rsid w:val="02E33B4B"/>
    <w:rsid w:val="02EB05EB"/>
    <w:rsid w:val="02F96569"/>
    <w:rsid w:val="02FA4F37"/>
    <w:rsid w:val="03434144"/>
    <w:rsid w:val="03450AAD"/>
    <w:rsid w:val="03C36137"/>
    <w:rsid w:val="03C46B18"/>
    <w:rsid w:val="03D955D4"/>
    <w:rsid w:val="03DB0660"/>
    <w:rsid w:val="03EA7B21"/>
    <w:rsid w:val="042E60A1"/>
    <w:rsid w:val="04422D4E"/>
    <w:rsid w:val="04827FE8"/>
    <w:rsid w:val="048C6A0E"/>
    <w:rsid w:val="04B24529"/>
    <w:rsid w:val="04F95ED0"/>
    <w:rsid w:val="05F83EAE"/>
    <w:rsid w:val="05FF71D8"/>
    <w:rsid w:val="063E7D85"/>
    <w:rsid w:val="069A5DBB"/>
    <w:rsid w:val="06BB6550"/>
    <w:rsid w:val="06F63D6D"/>
    <w:rsid w:val="07274F7E"/>
    <w:rsid w:val="07293586"/>
    <w:rsid w:val="07295285"/>
    <w:rsid w:val="07617BBF"/>
    <w:rsid w:val="07636392"/>
    <w:rsid w:val="07770C56"/>
    <w:rsid w:val="07B73940"/>
    <w:rsid w:val="07C72E60"/>
    <w:rsid w:val="0890661D"/>
    <w:rsid w:val="08CA47FF"/>
    <w:rsid w:val="08FC124B"/>
    <w:rsid w:val="092217DD"/>
    <w:rsid w:val="093A7294"/>
    <w:rsid w:val="095551E2"/>
    <w:rsid w:val="09842376"/>
    <w:rsid w:val="09964F27"/>
    <w:rsid w:val="099D055F"/>
    <w:rsid w:val="09AA793F"/>
    <w:rsid w:val="09CF198F"/>
    <w:rsid w:val="0A0138BB"/>
    <w:rsid w:val="0A263993"/>
    <w:rsid w:val="0A2D3AC2"/>
    <w:rsid w:val="0A4B2FF3"/>
    <w:rsid w:val="0AA755DF"/>
    <w:rsid w:val="0AC0548A"/>
    <w:rsid w:val="0AC623AA"/>
    <w:rsid w:val="0AEB04AA"/>
    <w:rsid w:val="0B120D44"/>
    <w:rsid w:val="0B123814"/>
    <w:rsid w:val="0B26413A"/>
    <w:rsid w:val="0B3F620F"/>
    <w:rsid w:val="0BD27BF6"/>
    <w:rsid w:val="0BE41EB3"/>
    <w:rsid w:val="0C111941"/>
    <w:rsid w:val="0C3B3C7D"/>
    <w:rsid w:val="0C425E15"/>
    <w:rsid w:val="0C431F61"/>
    <w:rsid w:val="0C5C3933"/>
    <w:rsid w:val="0C807039"/>
    <w:rsid w:val="0CAB2EAE"/>
    <w:rsid w:val="0D530A66"/>
    <w:rsid w:val="0D621C7D"/>
    <w:rsid w:val="0DB45C5A"/>
    <w:rsid w:val="0DBD107E"/>
    <w:rsid w:val="0DCD5DBF"/>
    <w:rsid w:val="0DDC0B98"/>
    <w:rsid w:val="0E332F04"/>
    <w:rsid w:val="0E3E43E4"/>
    <w:rsid w:val="0E73034D"/>
    <w:rsid w:val="0EA571FF"/>
    <w:rsid w:val="0EB37F56"/>
    <w:rsid w:val="0EDA6AFA"/>
    <w:rsid w:val="0EE229E9"/>
    <w:rsid w:val="0EF74CBC"/>
    <w:rsid w:val="0F13775A"/>
    <w:rsid w:val="0F3B3052"/>
    <w:rsid w:val="0F5369BD"/>
    <w:rsid w:val="0F5F45FE"/>
    <w:rsid w:val="0F9A112B"/>
    <w:rsid w:val="0FBD78D3"/>
    <w:rsid w:val="0FEF58C7"/>
    <w:rsid w:val="106D2F64"/>
    <w:rsid w:val="10B63710"/>
    <w:rsid w:val="10C33734"/>
    <w:rsid w:val="10F10820"/>
    <w:rsid w:val="111C2F7A"/>
    <w:rsid w:val="111D0DBD"/>
    <w:rsid w:val="11321524"/>
    <w:rsid w:val="113F2E7F"/>
    <w:rsid w:val="11535CDA"/>
    <w:rsid w:val="115E35E0"/>
    <w:rsid w:val="11665CA1"/>
    <w:rsid w:val="11B22033"/>
    <w:rsid w:val="11BF559F"/>
    <w:rsid w:val="12035DC4"/>
    <w:rsid w:val="12292D96"/>
    <w:rsid w:val="124E0CD3"/>
    <w:rsid w:val="12660937"/>
    <w:rsid w:val="1276558C"/>
    <w:rsid w:val="12997369"/>
    <w:rsid w:val="12D0185E"/>
    <w:rsid w:val="13113BD5"/>
    <w:rsid w:val="1336124D"/>
    <w:rsid w:val="133A5562"/>
    <w:rsid w:val="13673E7E"/>
    <w:rsid w:val="13951726"/>
    <w:rsid w:val="13AA6DEE"/>
    <w:rsid w:val="14396509"/>
    <w:rsid w:val="145D2361"/>
    <w:rsid w:val="1497245B"/>
    <w:rsid w:val="149F23C6"/>
    <w:rsid w:val="14B15CC6"/>
    <w:rsid w:val="14DD2C3C"/>
    <w:rsid w:val="15500DFF"/>
    <w:rsid w:val="15E4036B"/>
    <w:rsid w:val="15FA73AE"/>
    <w:rsid w:val="16087E1D"/>
    <w:rsid w:val="16975538"/>
    <w:rsid w:val="16BE5BA7"/>
    <w:rsid w:val="171174F6"/>
    <w:rsid w:val="171A6FB2"/>
    <w:rsid w:val="17701D14"/>
    <w:rsid w:val="17735226"/>
    <w:rsid w:val="177D31A2"/>
    <w:rsid w:val="1875156D"/>
    <w:rsid w:val="189F624C"/>
    <w:rsid w:val="18BF3E21"/>
    <w:rsid w:val="18E54692"/>
    <w:rsid w:val="18EB16E7"/>
    <w:rsid w:val="18F43982"/>
    <w:rsid w:val="190268C6"/>
    <w:rsid w:val="19730774"/>
    <w:rsid w:val="199E467F"/>
    <w:rsid w:val="19B51244"/>
    <w:rsid w:val="1A1C66C0"/>
    <w:rsid w:val="1A42393B"/>
    <w:rsid w:val="1A673548"/>
    <w:rsid w:val="1AAD45DE"/>
    <w:rsid w:val="1B046F80"/>
    <w:rsid w:val="1B1C3653"/>
    <w:rsid w:val="1B3267B5"/>
    <w:rsid w:val="1B3B018D"/>
    <w:rsid w:val="1B40161D"/>
    <w:rsid w:val="1B441859"/>
    <w:rsid w:val="1B6606B1"/>
    <w:rsid w:val="1BAE3AE6"/>
    <w:rsid w:val="1C45613E"/>
    <w:rsid w:val="1C4A68F3"/>
    <w:rsid w:val="1C5E7925"/>
    <w:rsid w:val="1C603610"/>
    <w:rsid w:val="1CDB3D22"/>
    <w:rsid w:val="1CFD070F"/>
    <w:rsid w:val="1D5F6196"/>
    <w:rsid w:val="1D6132A5"/>
    <w:rsid w:val="1D8E56D5"/>
    <w:rsid w:val="1E5C19AD"/>
    <w:rsid w:val="1E7A43DA"/>
    <w:rsid w:val="1E8078D4"/>
    <w:rsid w:val="1E8F5353"/>
    <w:rsid w:val="1F2748B8"/>
    <w:rsid w:val="1F362133"/>
    <w:rsid w:val="1F46547D"/>
    <w:rsid w:val="1FB913AA"/>
    <w:rsid w:val="1FE7539E"/>
    <w:rsid w:val="20076BD7"/>
    <w:rsid w:val="20663B3B"/>
    <w:rsid w:val="20671BE0"/>
    <w:rsid w:val="20807E48"/>
    <w:rsid w:val="2085497B"/>
    <w:rsid w:val="20963CB8"/>
    <w:rsid w:val="20A81A1B"/>
    <w:rsid w:val="20B07FB6"/>
    <w:rsid w:val="20B646FB"/>
    <w:rsid w:val="20C31E08"/>
    <w:rsid w:val="211146EC"/>
    <w:rsid w:val="213B74B1"/>
    <w:rsid w:val="21407669"/>
    <w:rsid w:val="215A2310"/>
    <w:rsid w:val="215C5C93"/>
    <w:rsid w:val="218912A4"/>
    <w:rsid w:val="21A317AD"/>
    <w:rsid w:val="21A97EF9"/>
    <w:rsid w:val="21C02EF0"/>
    <w:rsid w:val="21C52DE6"/>
    <w:rsid w:val="21C723D7"/>
    <w:rsid w:val="21DE318A"/>
    <w:rsid w:val="21EF5B80"/>
    <w:rsid w:val="22576990"/>
    <w:rsid w:val="22596E32"/>
    <w:rsid w:val="227460B3"/>
    <w:rsid w:val="22844F12"/>
    <w:rsid w:val="22A22A79"/>
    <w:rsid w:val="22B34237"/>
    <w:rsid w:val="22F47480"/>
    <w:rsid w:val="231A5ADD"/>
    <w:rsid w:val="23721258"/>
    <w:rsid w:val="23732DF4"/>
    <w:rsid w:val="239C54DB"/>
    <w:rsid w:val="23DE1C48"/>
    <w:rsid w:val="240210CD"/>
    <w:rsid w:val="241E0B47"/>
    <w:rsid w:val="245E748B"/>
    <w:rsid w:val="246813E0"/>
    <w:rsid w:val="24685BD7"/>
    <w:rsid w:val="247066D1"/>
    <w:rsid w:val="24BF09F7"/>
    <w:rsid w:val="24C224A0"/>
    <w:rsid w:val="24CF65FC"/>
    <w:rsid w:val="252D53FE"/>
    <w:rsid w:val="25EC2D81"/>
    <w:rsid w:val="262E252B"/>
    <w:rsid w:val="263B4DFB"/>
    <w:rsid w:val="26586728"/>
    <w:rsid w:val="268D4C13"/>
    <w:rsid w:val="270126B0"/>
    <w:rsid w:val="27022D5D"/>
    <w:rsid w:val="27264B7C"/>
    <w:rsid w:val="277057A2"/>
    <w:rsid w:val="27A2051C"/>
    <w:rsid w:val="27D269C0"/>
    <w:rsid w:val="282671CE"/>
    <w:rsid w:val="285429B9"/>
    <w:rsid w:val="289504BB"/>
    <w:rsid w:val="28CB345F"/>
    <w:rsid w:val="28D81227"/>
    <w:rsid w:val="28E06911"/>
    <w:rsid w:val="291817A7"/>
    <w:rsid w:val="29206EB8"/>
    <w:rsid w:val="29595666"/>
    <w:rsid w:val="298479CB"/>
    <w:rsid w:val="29874881"/>
    <w:rsid w:val="29E325E0"/>
    <w:rsid w:val="2A097EB8"/>
    <w:rsid w:val="2A452503"/>
    <w:rsid w:val="2A461AE0"/>
    <w:rsid w:val="2A75142A"/>
    <w:rsid w:val="2AE52BDF"/>
    <w:rsid w:val="2B066D70"/>
    <w:rsid w:val="2B173F33"/>
    <w:rsid w:val="2B245557"/>
    <w:rsid w:val="2B9D50AB"/>
    <w:rsid w:val="2BA936A8"/>
    <w:rsid w:val="2BAF1907"/>
    <w:rsid w:val="2BCD7DD8"/>
    <w:rsid w:val="2BDA481C"/>
    <w:rsid w:val="2BE27369"/>
    <w:rsid w:val="2BFA74B5"/>
    <w:rsid w:val="2C315A5A"/>
    <w:rsid w:val="2C4B1C25"/>
    <w:rsid w:val="2C5B657A"/>
    <w:rsid w:val="2CB24C80"/>
    <w:rsid w:val="2CCE1BDB"/>
    <w:rsid w:val="2D09498E"/>
    <w:rsid w:val="2D2500D2"/>
    <w:rsid w:val="2D9E56F5"/>
    <w:rsid w:val="2DAD3E4A"/>
    <w:rsid w:val="2E667F96"/>
    <w:rsid w:val="2E8226AB"/>
    <w:rsid w:val="2F110668"/>
    <w:rsid w:val="2F2C4AD4"/>
    <w:rsid w:val="2F401D2E"/>
    <w:rsid w:val="2F83747E"/>
    <w:rsid w:val="2FAF7620"/>
    <w:rsid w:val="2FC5607C"/>
    <w:rsid w:val="2FD065E6"/>
    <w:rsid w:val="2FD96870"/>
    <w:rsid w:val="300C2DDB"/>
    <w:rsid w:val="301202BA"/>
    <w:rsid w:val="30311798"/>
    <w:rsid w:val="303625F7"/>
    <w:rsid w:val="30550944"/>
    <w:rsid w:val="30580BC9"/>
    <w:rsid w:val="30862A3C"/>
    <w:rsid w:val="31010F6C"/>
    <w:rsid w:val="31030FC1"/>
    <w:rsid w:val="311E2ED7"/>
    <w:rsid w:val="315619EE"/>
    <w:rsid w:val="3159659D"/>
    <w:rsid w:val="315C449C"/>
    <w:rsid w:val="31761F3B"/>
    <w:rsid w:val="319439A7"/>
    <w:rsid w:val="31B82709"/>
    <w:rsid w:val="31D05482"/>
    <w:rsid w:val="31FB1C92"/>
    <w:rsid w:val="32400B34"/>
    <w:rsid w:val="325D0447"/>
    <w:rsid w:val="326428EE"/>
    <w:rsid w:val="329E6876"/>
    <w:rsid w:val="32D514AB"/>
    <w:rsid w:val="32DF355B"/>
    <w:rsid w:val="32EE3827"/>
    <w:rsid w:val="333015F2"/>
    <w:rsid w:val="334B6320"/>
    <w:rsid w:val="33D92F2C"/>
    <w:rsid w:val="33D934D4"/>
    <w:rsid w:val="33FE2F6A"/>
    <w:rsid w:val="340E07E5"/>
    <w:rsid w:val="34235BF7"/>
    <w:rsid w:val="346A15C2"/>
    <w:rsid w:val="347305E0"/>
    <w:rsid w:val="34980523"/>
    <w:rsid w:val="34C92A09"/>
    <w:rsid w:val="34F60318"/>
    <w:rsid w:val="35097996"/>
    <w:rsid w:val="354D104B"/>
    <w:rsid w:val="358C5FA8"/>
    <w:rsid w:val="35C15DF1"/>
    <w:rsid w:val="35D3679B"/>
    <w:rsid w:val="36074A7F"/>
    <w:rsid w:val="36877A02"/>
    <w:rsid w:val="36923549"/>
    <w:rsid w:val="36B75FBF"/>
    <w:rsid w:val="36BD0C45"/>
    <w:rsid w:val="36EC563F"/>
    <w:rsid w:val="374E0F26"/>
    <w:rsid w:val="378B290D"/>
    <w:rsid w:val="37C35DB4"/>
    <w:rsid w:val="37E00298"/>
    <w:rsid w:val="38806E54"/>
    <w:rsid w:val="388A3981"/>
    <w:rsid w:val="38B302F9"/>
    <w:rsid w:val="38C31D58"/>
    <w:rsid w:val="38F12CD3"/>
    <w:rsid w:val="38F94775"/>
    <w:rsid w:val="392971ED"/>
    <w:rsid w:val="39325651"/>
    <w:rsid w:val="39425489"/>
    <w:rsid w:val="395D1D73"/>
    <w:rsid w:val="396B6CA7"/>
    <w:rsid w:val="39727337"/>
    <w:rsid w:val="39921842"/>
    <w:rsid w:val="39D539B4"/>
    <w:rsid w:val="3A3B6D5E"/>
    <w:rsid w:val="3A3E2BB7"/>
    <w:rsid w:val="3A46779A"/>
    <w:rsid w:val="3A7C08D6"/>
    <w:rsid w:val="3A831BBC"/>
    <w:rsid w:val="3A872856"/>
    <w:rsid w:val="3ABF43A0"/>
    <w:rsid w:val="3B3763D1"/>
    <w:rsid w:val="3BA60148"/>
    <w:rsid w:val="3BAF3FB6"/>
    <w:rsid w:val="3BF53D8C"/>
    <w:rsid w:val="3C2F6E1E"/>
    <w:rsid w:val="3C3407B5"/>
    <w:rsid w:val="3C4F64BA"/>
    <w:rsid w:val="3CDA245A"/>
    <w:rsid w:val="3D1E06B7"/>
    <w:rsid w:val="3DD86836"/>
    <w:rsid w:val="3E6842C3"/>
    <w:rsid w:val="3E6D4893"/>
    <w:rsid w:val="3E967838"/>
    <w:rsid w:val="3EB43064"/>
    <w:rsid w:val="3EDA0523"/>
    <w:rsid w:val="3F066C07"/>
    <w:rsid w:val="3F0B2EA0"/>
    <w:rsid w:val="40671DE8"/>
    <w:rsid w:val="407A6407"/>
    <w:rsid w:val="40A23D6D"/>
    <w:rsid w:val="40AB6298"/>
    <w:rsid w:val="40AE3C0B"/>
    <w:rsid w:val="40C059ED"/>
    <w:rsid w:val="40CD6614"/>
    <w:rsid w:val="40F74AC6"/>
    <w:rsid w:val="4200449D"/>
    <w:rsid w:val="421F71C1"/>
    <w:rsid w:val="423A3BCC"/>
    <w:rsid w:val="424E57D2"/>
    <w:rsid w:val="426B4D04"/>
    <w:rsid w:val="42840859"/>
    <w:rsid w:val="42AE713D"/>
    <w:rsid w:val="42B26C49"/>
    <w:rsid w:val="42DD2F26"/>
    <w:rsid w:val="433A6FE6"/>
    <w:rsid w:val="43480868"/>
    <w:rsid w:val="4350713C"/>
    <w:rsid w:val="436653E0"/>
    <w:rsid w:val="437F30A6"/>
    <w:rsid w:val="43C4431A"/>
    <w:rsid w:val="43FE6CD2"/>
    <w:rsid w:val="44661657"/>
    <w:rsid w:val="44662C29"/>
    <w:rsid w:val="448A5ED1"/>
    <w:rsid w:val="44B951CC"/>
    <w:rsid w:val="44CD14E0"/>
    <w:rsid w:val="44CE4B14"/>
    <w:rsid w:val="44F20B0B"/>
    <w:rsid w:val="452E5F4C"/>
    <w:rsid w:val="45612018"/>
    <w:rsid w:val="458946E9"/>
    <w:rsid w:val="45A47C0E"/>
    <w:rsid w:val="45D37CA2"/>
    <w:rsid w:val="45F27AE8"/>
    <w:rsid w:val="464273A0"/>
    <w:rsid w:val="46577FD6"/>
    <w:rsid w:val="46AF56A0"/>
    <w:rsid w:val="46CD0862"/>
    <w:rsid w:val="46D955A7"/>
    <w:rsid w:val="47133957"/>
    <w:rsid w:val="47A07E0C"/>
    <w:rsid w:val="47C4366E"/>
    <w:rsid w:val="47E908D0"/>
    <w:rsid w:val="482A237A"/>
    <w:rsid w:val="483843EA"/>
    <w:rsid w:val="48472A73"/>
    <w:rsid w:val="4870272E"/>
    <w:rsid w:val="48984CB4"/>
    <w:rsid w:val="494F3E43"/>
    <w:rsid w:val="4961643E"/>
    <w:rsid w:val="4967531F"/>
    <w:rsid w:val="49B72878"/>
    <w:rsid w:val="49D76A3B"/>
    <w:rsid w:val="49DC7715"/>
    <w:rsid w:val="4A023139"/>
    <w:rsid w:val="4A3C101F"/>
    <w:rsid w:val="4A7B576F"/>
    <w:rsid w:val="4AC86CE1"/>
    <w:rsid w:val="4AE03EA1"/>
    <w:rsid w:val="4AEF0875"/>
    <w:rsid w:val="4AF561A9"/>
    <w:rsid w:val="4B715F70"/>
    <w:rsid w:val="4C290289"/>
    <w:rsid w:val="4C37514C"/>
    <w:rsid w:val="4C4A0649"/>
    <w:rsid w:val="4C661E54"/>
    <w:rsid w:val="4C775965"/>
    <w:rsid w:val="4C7E5ECA"/>
    <w:rsid w:val="4C876AA5"/>
    <w:rsid w:val="4CBF7FEF"/>
    <w:rsid w:val="4CF60A61"/>
    <w:rsid w:val="4D0E00FB"/>
    <w:rsid w:val="4D176606"/>
    <w:rsid w:val="4D1C0AEE"/>
    <w:rsid w:val="4D45059E"/>
    <w:rsid w:val="4DCE3A17"/>
    <w:rsid w:val="4DDB73AC"/>
    <w:rsid w:val="4DEC4FB0"/>
    <w:rsid w:val="4E075D8A"/>
    <w:rsid w:val="4E457B16"/>
    <w:rsid w:val="4EC00FAD"/>
    <w:rsid w:val="4ED17C62"/>
    <w:rsid w:val="4F7A05CE"/>
    <w:rsid w:val="4F9843DC"/>
    <w:rsid w:val="4FC62A8C"/>
    <w:rsid w:val="4FE20F0D"/>
    <w:rsid w:val="4FE51552"/>
    <w:rsid w:val="501A4E27"/>
    <w:rsid w:val="50504C4B"/>
    <w:rsid w:val="509C6E7C"/>
    <w:rsid w:val="50A019F1"/>
    <w:rsid w:val="50AB51D2"/>
    <w:rsid w:val="50F04D4A"/>
    <w:rsid w:val="5162104E"/>
    <w:rsid w:val="516C1049"/>
    <w:rsid w:val="51A646CB"/>
    <w:rsid w:val="526A535B"/>
    <w:rsid w:val="529F1724"/>
    <w:rsid w:val="529F5982"/>
    <w:rsid w:val="52CC0633"/>
    <w:rsid w:val="53615899"/>
    <w:rsid w:val="53887A72"/>
    <w:rsid w:val="53A039CC"/>
    <w:rsid w:val="53A1505A"/>
    <w:rsid w:val="54051BD4"/>
    <w:rsid w:val="54063E08"/>
    <w:rsid w:val="543437E8"/>
    <w:rsid w:val="54875F7E"/>
    <w:rsid w:val="54F73313"/>
    <w:rsid w:val="54F80955"/>
    <w:rsid w:val="550D0174"/>
    <w:rsid w:val="554C5270"/>
    <w:rsid w:val="555170A7"/>
    <w:rsid w:val="555F3ED0"/>
    <w:rsid w:val="5587536D"/>
    <w:rsid w:val="559B174B"/>
    <w:rsid w:val="55A6230B"/>
    <w:rsid w:val="55CE0CF4"/>
    <w:rsid w:val="55F52DAA"/>
    <w:rsid w:val="56010BC8"/>
    <w:rsid w:val="563E214A"/>
    <w:rsid w:val="566518C7"/>
    <w:rsid w:val="56B22A9C"/>
    <w:rsid w:val="57840470"/>
    <w:rsid w:val="57B72A76"/>
    <w:rsid w:val="57C3426C"/>
    <w:rsid w:val="57CE1F93"/>
    <w:rsid w:val="580F1792"/>
    <w:rsid w:val="584228B7"/>
    <w:rsid w:val="586E207E"/>
    <w:rsid w:val="5882314B"/>
    <w:rsid w:val="588743D1"/>
    <w:rsid w:val="5887701A"/>
    <w:rsid w:val="590E16E0"/>
    <w:rsid w:val="591C41D0"/>
    <w:rsid w:val="592E6948"/>
    <w:rsid w:val="59BD2582"/>
    <w:rsid w:val="59C0439F"/>
    <w:rsid w:val="5A4273A5"/>
    <w:rsid w:val="5A4C05CA"/>
    <w:rsid w:val="5A8042EB"/>
    <w:rsid w:val="5AA53F84"/>
    <w:rsid w:val="5ABE2233"/>
    <w:rsid w:val="5ABE5849"/>
    <w:rsid w:val="5ACA1A7E"/>
    <w:rsid w:val="5B2E35FC"/>
    <w:rsid w:val="5B5437AD"/>
    <w:rsid w:val="5BC42F82"/>
    <w:rsid w:val="5BCA427A"/>
    <w:rsid w:val="5BDF5D95"/>
    <w:rsid w:val="5BE95DC0"/>
    <w:rsid w:val="5BFA197D"/>
    <w:rsid w:val="5BFE7528"/>
    <w:rsid w:val="5C0D4BA5"/>
    <w:rsid w:val="5C693A52"/>
    <w:rsid w:val="5C776080"/>
    <w:rsid w:val="5D1F40EF"/>
    <w:rsid w:val="5D2A5ABE"/>
    <w:rsid w:val="5D442A78"/>
    <w:rsid w:val="5DE6187E"/>
    <w:rsid w:val="5E2467F1"/>
    <w:rsid w:val="5E9B162A"/>
    <w:rsid w:val="5EB264B3"/>
    <w:rsid w:val="5F1A2B43"/>
    <w:rsid w:val="5F1A4A5C"/>
    <w:rsid w:val="5F6366B5"/>
    <w:rsid w:val="5FB837BB"/>
    <w:rsid w:val="5FC92E94"/>
    <w:rsid w:val="602466F0"/>
    <w:rsid w:val="60477D84"/>
    <w:rsid w:val="60902628"/>
    <w:rsid w:val="60C81B42"/>
    <w:rsid w:val="60CC405A"/>
    <w:rsid w:val="60E036FC"/>
    <w:rsid w:val="60FC4062"/>
    <w:rsid w:val="611C27CE"/>
    <w:rsid w:val="61215172"/>
    <w:rsid w:val="612274F8"/>
    <w:rsid w:val="61E215D8"/>
    <w:rsid w:val="61FE0B32"/>
    <w:rsid w:val="62047D0D"/>
    <w:rsid w:val="621B3775"/>
    <w:rsid w:val="62364782"/>
    <w:rsid w:val="625670BA"/>
    <w:rsid w:val="62853DA8"/>
    <w:rsid w:val="629745D7"/>
    <w:rsid w:val="62B17890"/>
    <w:rsid w:val="63003D91"/>
    <w:rsid w:val="63273B0D"/>
    <w:rsid w:val="632906BF"/>
    <w:rsid w:val="63706B73"/>
    <w:rsid w:val="6394356A"/>
    <w:rsid w:val="639644C9"/>
    <w:rsid w:val="63C61B2C"/>
    <w:rsid w:val="63CF5B0D"/>
    <w:rsid w:val="63D40BE9"/>
    <w:rsid w:val="63D925E1"/>
    <w:rsid w:val="640159D8"/>
    <w:rsid w:val="64102431"/>
    <w:rsid w:val="644A6558"/>
    <w:rsid w:val="64557919"/>
    <w:rsid w:val="64A5243A"/>
    <w:rsid w:val="64B324EB"/>
    <w:rsid w:val="64F531DE"/>
    <w:rsid w:val="652A40ED"/>
    <w:rsid w:val="652E1B57"/>
    <w:rsid w:val="65373578"/>
    <w:rsid w:val="65411089"/>
    <w:rsid w:val="65764AB5"/>
    <w:rsid w:val="65DA69E2"/>
    <w:rsid w:val="66421669"/>
    <w:rsid w:val="66A43D13"/>
    <w:rsid w:val="66BD0A20"/>
    <w:rsid w:val="66CB50B0"/>
    <w:rsid w:val="66CE430A"/>
    <w:rsid w:val="671D32D5"/>
    <w:rsid w:val="671F124A"/>
    <w:rsid w:val="67404438"/>
    <w:rsid w:val="677A33C6"/>
    <w:rsid w:val="67AB4D12"/>
    <w:rsid w:val="67E212FA"/>
    <w:rsid w:val="681F6961"/>
    <w:rsid w:val="68610A2F"/>
    <w:rsid w:val="68614797"/>
    <w:rsid w:val="68805514"/>
    <w:rsid w:val="68871922"/>
    <w:rsid w:val="68E86674"/>
    <w:rsid w:val="69270ADD"/>
    <w:rsid w:val="69316E2F"/>
    <w:rsid w:val="694E2071"/>
    <w:rsid w:val="69643647"/>
    <w:rsid w:val="69766163"/>
    <w:rsid w:val="697A3B33"/>
    <w:rsid w:val="69B8385E"/>
    <w:rsid w:val="69D44760"/>
    <w:rsid w:val="69E91EAC"/>
    <w:rsid w:val="6A123ECF"/>
    <w:rsid w:val="6A520EC7"/>
    <w:rsid w:val="6A7970B1"/>
    <w:rsid w:val="6AA4324E"/>
    <w:rsid w:val="6ABD4FF8"/>
    <w:rsid w:val="6AE8050E"/>
    <w:rsid w:val="6AF87E20"/>
    <w:rsid w:val="6B034CD6"/>
    <w:rsid w:val="6B2C7833"/>
    <w:rsid w:val="6B322639"/>
    <w:rsid w:val="6BA93EFA"/>
    <w:rsid w:val="6C150530"/>
    <w:rsid w:val="6C636C38"/>
    <w:rsid w:val="6C8F4900"/>
    <w:rsid w:val="6CFD0BA7"/>
    <w:rsid w:val="6D5A1CCD"/>
    <w:rsid w:val="6D6B5AF8"/>
    <w:rsid w:val="6D6F36BE"/>
    <w:rsid w:val="6DAF2BE1"/>
    <w:rsid w:val="6DB34098"/>
    <w:rsid w:val="6DB545B6"/>
    <w:rsid w:val="6DE02FB4"/>
    <w:rsid w:val="6E514CED"/>
    <w:rsid w:val="6E5E3D82"/>
    <w:rsid w:val="6E7D4D37"/>
    <w:rsid w:val="6E8C2253"/>
    <w:rsid w:val="6E91149D"/>
    <w:rsid w:val="6E9847F7"/>
    <w:rsid w:val="6EB563D5"/>
    <w:rsid w:val="6ED92677"/>
    <w:rsid w:val="6EFB2428"/>
    <w:rsid w:val="6F225983"/>
    <w:rsid w:val="6F543E88"/>
    <w:rsid w:val="6FBD3F1E"/>
    <w:rsid w:val="6FFC5590"/>
    <w:rsid w:val="70474CBF"/>
    <w:rsid w:val="706A20CB"/>
    <w:rsid w:val="706A739C"/>
    <w:rsid w:val="706D1DD0"/>
    <w:rsid w:val="70856B87"/>
    <w:rsid w:val="70D527EE"/>
    <w:rsid w:val="710840DF"/>
    <w:rsid w:val="71162F2C"/>
    <w:rsid w:val="715B5300"/>
    <w:rsid w:val="71CD3E62"/>
    <w:rsid w:val="71D27F8A"/>
    <w:rsid w:val="72553024"/>
    <w:rsid w:val="72572295"/>
    <w:rsid w:val="72BB17DA"/>
    <w:rsid w:val="72F372FD"/>
    <w:rsid w:val="72F8266C"/>
    <w:rsid w:val="73122968"/>
    <w:rsid w:val="731F5D5E"/>
    <w:rsid w:val="73893DB8"/>
    <w:rsid w:val="73903A60"/>
    <w:rsid w:val="73BE0122"/>
    <w:rsid w:val="73C51AD5"/>
    <w:rsid w:val="73C573B3"/>
    <w:rsid w:val="73D63287"/>
    <w:rsid w:val="73DA7013"/>
    <w:rsid w:val="741E793C"/>
    <w:rsid w:val="74352F2B"/>
    <w:rsid w:val="745E3944"/>
    <w:rsid w:val="74A93131"/>
    <w:rsid w:val="75020F36"/>
    <w:rsid w:val="752957F8"/>
    <w:rsid w:val="753F506F"/>
    <w:rsid w:val="759D14D3"/>
    <w:rsid w:val="759F509B"/>
    <w:rsid w:val="75A51E9E"/>
    <w:rsid w:val="7635099D"/>
    <w:rsid w:val="76705C60"/>
    <w:rsid w:val="76896FA4"/>
    <w:rsid w:val="76A5794C"/>
    <w:rsid w:val="76F85E5B"/>
    <w:rsid w:val="77323A7C"/>
    <w:rsid w:val="77762421"/>
    <w:rsid w:val="77905715"/>
    <w:rsid w:val="779C7C9F"/>
    <w:rsid w:val="77B56B1F"/>
    <w:rsid w:val="780F09F4"/>
    <w:rsid w:val="78106856"/>
    <w:rsid w:val="78686692"/>
    <w:rsid w:val="78751FD4"/>
    <w:rsid w:val="788B376D"/>
    <w:rsid w:val="78A90480"/>
    <w:rsid w:val="79B6324E"/>
    <w:rsid w:val="79F4589C"/>
    <w:rsid w:val="7A364017"/>
    <w:rsid w:val="7A691D45"/>
    <w:rsid w:val="7A8265E1"/>
    <w:rsid w:val="7ADF150A"/>
    <w:rsid w:val="7B026EB2"/>
    <w:rsid w:val="7B2C33BD"/>
    <w:rsid w:val="7B686D42"/>
    <w:rsid w:val="7B841746"/>
    <w:rsid w:val="7BAB76D7"/>
    <w:rsid w:val="7BD0132F"/>
    <w:rsid w:val="7BE834DF"/>
    <w:rsid w:val="7C1105D9"/>
    <w:rsid w:val="7C3B232D"/>
    <w:rsid w:val="7C653353"/>
    <w:rsid w:val="7C6C5AC7"/>
    <w:rsid w:val="7C76232C"/>
    <w:rsid w:val="7CC6544B"/>
    <w:rsid w:val="7CD6006E"/>
    <w:rsid w:val="7CFF0371"/>
    <w:rsid w:val="7D0239FF"/>
    <w:rsid w:val="7D1A730A"/>
    <w:rsid w:val="7D3A5535"/>
    <w:rsid w:val="7D5E40CD"/>
    <w:rsid w:val="7D623539"/>
    <w:rsid w:val="7D7B5F42"/>
    <w:rsid w:val="7D8E0B3E"/>
    <w:rsid w:val="7DA67571"/>
    <w:rsid w:val="7DA76381"/>
    <w:rsid w:val="7DC4792E"/>
    <w:rsid w:val="7DCD56F2"/>
    <w:rsid w:val="7DD55A70"/>
    <w:rsid w:val="7E315994"/>
    <w:rsid w:val="7E60376D"/>
    <w:rsid w:val="7E8E2D09"/>
    <w:rsid w:val="7E9637A2"/>
    <w:rsid w:val="7EA522A4"/>
    <w:rsid w:val="7EC72DBD"/>
    <w:rsid w:val="7EC778FE"/>
    <w:rsid w:val="7ED04A7B"/>
    <w:rsid w:val="7ED968BD"/>
    <w:rsid w:val="7EE607D2"/>
    <w:rsid w:val="7F001CE7"/>
    <w:rsid w:val="7F895543"/>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qFormat="1"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99"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99"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qFormat="1" w:uiPriority="99"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99"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line="360" w:lineRule="auto"/>
      <w:outlineLvl w:val="1"/>
    </w:pPr>
    <w:rPr>
      <w:rFonts w:eastAsia="仿宋_GB2312"/>
      <w:b/>
      <w:bCs/>
      <w:sz w:val="28"/>
      <w:szCs w:val="32"/>
    </w:rPr>
  </w:style>
  <w:style w:type="paragraph" w:styleId="5">
    <w:name w:val="heading 3"/>
    <w:basedOn w:val="1"/>
    <w:next w:val="6"/>
    <w:qFormat/>
    <w:locked/>
    <w:uiPriority w:val="0"/>
    <w:pPr>
      <w:keepNext/>
      <w:keepLines/>
      <w:spacing w:line="360" w:lineRule="auto"/>
      <w:outlineLvl w:val="2"/>
    </w:pPr>
    <w:rPr>
      <w:b/>
      <w:bCs/>
      <w:sz w:val="24"/>
      <w:szCs w:val="32"/>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Block Text"/>
    <w:basedOn w:val="1"/>
    <w:unhideWhenUsed/>
    <w:qFormat/>
    <w:locked/>
    <w:uiPriority w:val="99"/>
    <w:pPr>
      <w:adjustRightInd w:val="0"/>
      <w:spacing w:before="120" w:after="100" w:afterAutospacing="1" w:line="440" w:lineRule="exact"/>
      <w:ind w:left="284" w:right="284" w:firstLine="567"/>
      <w:textAlignment w:val="baseline"/>
    </w:pPr>
    <w:rPr>
      <w:rFonts w:ascii="楷体_GB2312" w:hAnsi="宋体" w:eastAsia="楷体_GB2312" w:cs="宋体"/>
      <w:spacing w:val="-2"/>
      <w:kern w:val="0"/>
      <w:sz w:val="28"/>
      <w:szCs w:val="28"/>
    </w:rPr>
  </w:style>
  <w:style w:type="paragraph" w:customStyle="1" w:styleId="6">
    <w:name w:val="报告"/>
    <w:basedOn w:val="1"/>
    <w:qFormat/>
    <w:uiPriority w:val="0"/>
    <w:pPr>
      <w:adjustRightInd w:val="0"/>
      <w:spacing w:line="360" w:lineRule="auto"/>
      <w:ind w:firstLine="505"/>
      <w:jc w:val="left"/>
      <w:textAlignment w:val="baseline"/>
    </w:pPr>
    <w:rPr>
      <w:rFonts w:ascii="Calibri" w:hAnsi="Calibri" w:cs="Times New Roman"/>
      <w:sz w:val="24"/>
      <w:szCs w:val="22"/>
    </w:rPr>
  </w:style>
  <w:style w:type="paragraph" w:styleId="7">
    <w:name w:val="caption"/>
    <w:basedOn w:val="1"/>
    <w:next w:val="1"/>
    <w:qFormat/>
    <w:locked/>
    <w:uiPriority w:val="0"/>
    <w:pPr>
      <w:spacing w:beforeLines="50"/>
      <w:ind w:firstLine="200" w:firstLineChars="200"/>
      <w:jc w:val="center"/>
    </w:pPr>
    <w:rPr>
      <w:rFonts w:ascii="宋体" w:hAnsi="Courier New" w:cs="Courier New"/>
    </w:rPr>
  </w:style>
  <w:style w:type="paragraph" w:styleId="8">
    <w:name w:val="toa heading"/>
    <w:basedOn w:val="1"/>
    <w:next w:val="1"/>
    <w:qFormat/>
    <w:locked/>
    <w:uiPriority w:val="99"/>
    <w:pPr>
      <w:spacing w:before="120"/>
    </w:pPr>
    <w:rPr>
      <w:rFonts w:ascii="Arial" w:hAnsi="Arial" w:cs="Arial"/>
    </w:rPr>
  </w:style>
  <w:style w:type="paragraph" w:styleId="9">
    <w:name w:val="annotation text"/>
    <w:basedOn w:val="1"/>
    <w:link w:val="40"/>
    <w:semiHidden/>
    <w:qFormat/>
    <w:uiPriority w:val="0"/>
    <w:pPr>
      <w:jc w:val="left"/>
    </w:pPr>
    <w:rPr>
      <w:kern w:val="0"/>
      <w:sz w:val="24"/>
      <w:szCs w:val="20"/>
    </w:rPr>
  </w:style>
  <w:style w:type="paragraph" w:styleId="10">
    <w:name w:val="Body Text"/>
    <w:basedOn w:val="1"/>
    <w:next w:val="1"/>
    <w:link w:val="41"/>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38"/>
    <w:qFormat/>
    <w:uiPriority w:val="0"/>
    <w:pPr>
      <w:spacing w:after="120"/>
      <w:ind w:left="420" w:leftChars="200"/>
    </w:pPr>
    <w:rPr>
      <w:kern w:val="0"/>
      <w:sz w:val="24"/>
      <w:szCs w:val="20"/>
    </w:rPr>
  </w:style>
  <w:style w:type="paragraph" w:styleId="12">
    <w:name w:val="header"/>
    <w:basedOn w:val="1"/>
    <w:next w:val="13"/>
    <w:link w:val="39"/>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3">
    <w:name w:val="样式5"/>
    <w:basedOn w:val="14"/>
    <w:qFormat/>
    <w:uiPriority w:val="0"/>
    <w:rPr>
      <w:rFonts w:ascii="黑体"/>
    </w:rPr>
  </w:style>
  <w:style w:type="paragraph" w:customStyle="1" w:styleId="14">
    <w:name w:val="样式3"/>
    <w:basedOn w:val="15"/>
    <w:qFormat/>
    <w:uiPriority w:val="0"/>
    <w:pPr>
      <w:spacing w:line="520" w:lineRule="atLeast"/>
      <w:ind w:firstLine="560" w:firstLineChars="0"/>
      <w:jc w:val="left"/>
    </w:pPr>
    <w:rPr>
      <w:kern w:val="0"/>
      <w:sz w:val="28"/>
      <w:szCs w:val="20"/>
    </w:rPr>
  </w:style>
  <w:style w:type="paragraph" w:customStyle="1" w:styleId="15">
    <w:name w:val="正文缩进1"/>
    <w:basedOn w:val="1"/>
    <w:qFormat/>
    <w:uiPriority w:val="0"/>
    <w:pPr>
      <w:ind w:firstLine="420" w:firstLineChars="200"/>
    </w:pPr>
    <w:rPr>
      <w:szCs w:val="24"/>
    </w:rPr>
  </w:style>
  <w:style w:type="paragraph" w:styleId="16">
    <w:name w:val="Plain Text"/>
    <w:basedOn w:val="1"/>
    <w:qFormat/>
    <w:locked/>
    <w:uiPriority w:val="0"/>
    <w:rPr>
      <w:rFonts w:ascii="宋体" w:hAnsi="Courier New" w:cs="Courier New"/>
    </w:rPr>
  </w:style>
  <w:style w:type="paragraph" w:styleId="17">
    <w:name w:val="List Bullet 5"/>
    <w:basedOn w:val="1"/>
    <w:qFormat/>
    <w:locked/>
    <w:uiPriority w:val="0"/>
    <w:pPr>
      <w:numPr>
        <w:ilvl w:val="0"/>
        <w:numId w:val="1"/>
      </w:numPr>
    </w:pPr>
  </w:style>
  <w:style w:type="paragraph" w:styleId="18">
    <w:name w:val="Date"/>
    <w:basedOn w:val="1"/>
    <w:next w:val="1"/>
    <w:link w:val="42"/>
    <w:qFormat/>
    <w:uiPriority w:val="0"/>
    <w:pPr>
      <w:ind w:left="100" w:leftChars="2500"/>
    </w:pPr>
    <w:rPr>
      <w:kern w:val="0"/>
      <w:sz w:val="24"/>
      <w:szCs w:val="20"/>
    </w:rPr>
  </w:style>
  <w:style w:type="paragraph" w:styleId="19">
    <w:name w:val="Body Text Indent 2"/>
    <w:basedOn w:val="1"/>
    <w:next w:val="1"/>
    <w:unhideWhenUsed/>
    <w:qFormat/>
    <w:locked/>
    <w:uiPriority w:val="99"/>
    <w:pPr>
      <w:spacing w:after="120" w:line="480" w:lineRule="auto"/>
      <w:ind w:left="420" w:leftChars="200"/>
    </w:pPr>
    <w:rPr>
      <w:rFonts w:ascii="Calibri" w:hAnsi="Calibri" w:eastAsia="宋体"/>
    </w:rPr>
  </w:style>
  <w:style w:type="paragraph" w:styleId="20">
    <w:name w:val="endnote text"/>
    <w:basedOn w:val="1"/>
    <w:qFormat/>
    <w:locked/>
    <w:uiPriority w:val="0"/>
    <w:pPr>
      <w:snapToGrid w:val="0"/>
      <w:jc w:val="left"/>
    </w:pPr>
  </w:style>
  <w:style w:type="paragraph" w:styleId="21">
    <w:name w:val="Balloon Text"/>
    <w:basedOn w:val="1"/>
    <w:link w:val="43"/>
    <w:semiHidden/>
    <w:qFormat/>
    <w:uiPriority w:val="0"/>
    <w:rPr>
      <w:kern w:val="0"/>
      <w:sz w:val="18"/>
      <w:szCs w:val="20"/>
    </w:rPr>
  </w:style>
  <w:style w:type="paragraph" w:styleId="22">
    <w:name w:val="footer"/>
    <w:basedOn w:val="1"/>
    <w:link w:val="44"/>
    <w:qFormat/>
    <w:uiPriority w:val="99"/>
    <w:pPr>
      <w:tabs>
        <w:tab w:val="center" w:pos="4153"/>
        <w:tab w:val="right" w:pos="8306"/>
      </w:tabs>
      <w:snapToGrid w:val="0"/>
      <w:jc w:val="left"/>
    </w:pPr>
    <w:rPr>
      <w:kern w:val="0"/>
      <w:sz w:val="18"/>
      <w:szCs w:val="20"/>
    </w:rPr>
  </w:style>
  <w:style w:type="paragraph" w:styleId="23">
    <w:name w:val="List"/>
    <w:basedOn w:val="1"/>
    <w:qFormat/>
    <w:locked/>
    <w:uiPriority w:val="0"/>
    <w:pPr>
      <w:ind w:left="200" w:hanging="200" w:hangingChars="200"/>
    </w:pPr>
  </w:style>
  <w:style w:type="paragraph" w:styleId="24">
    <w:name w:val="Body Text 2"/>
    <w:basedOn w:val="1"/>
    <w:qFormat/>
    <w:locked/>
    <w:uiPriority w:val="99"/>
    <w:pPr>
      <w:spacing w:line="360" w:lineRule="auto"/>
      <w:ind w:firstLine="1446" w:firstLineChars="200"/>
    </w:pPr>
    <w:rPr>
      <w:rFonts w:ascii="Times New Roman" w:hAnsi="Times New Roman"/>
      <w:sz w:val="24"/>
    </w:rPr>
  </w:style>
  <w:style w:type="paragraph" w:styleId="25">
    <w:name w:val="Normal (Web)"/>
    <w:basedOn w:val="1"/>
    <w:link w:val="45"/>
    <w:qFormat/>
    <w:uiPriority w:val="99"/>
    <w:pPr>
      <w:widowControl/>
      <w:spacing w:before="100" w:beforeAutospacing="1" w:after="100" w:afterAutospacing="1"/>
      <w:jc w:val="left"/>
    </w:pPr>
    <w:rPr>
      <w:rFonts w:ascii="宋体" w:hAnsi="宋体"/>
      <w:kern w:val="0"/>
      <w:sz w:val="24"/>
      <w:szCs w:val="20"/>
    </w:rPr>
  </w:style>
  <w:style w:type="paragraph" w:styleId="26">
    <w:name w:val="Title"/>
    <w:basedOn w:val="1"/>
    <w:qFormat/>
    <w:locked/>
    <w:uiPriority w:val="0"/>
    <w:pPr>
      <w:spacing w:before="240" w:after="60"/>
      <w:jc w:val="center"/>
      <w:outlineLvl w:val="0"/>
    </w:pPr>
    <w:rPr>
      <w:rFonts w:ascii="Arial" w:hAnsi="Arial" w:cs="Arial"/>
      <w:b/>
      <w:bCs/>
      <w:sz w:val="32"/>
      <w:szCs w:val="32"/>
    </w:rPr>
  </w:style>
  <w:style w:type="paragraph" w:styleId="27">
    <w:name w:val="annotation subject"/>
    <w:basedOn w:val="9"/>
    <w:next w:val="9"/>
    <w:link w:val="46"/>
    <w:semiHidden/>
    <w:qFormat/>
    <w:uiPriority w:val="0"/>
    <w:rPr>
      <w:b/>
      <w:sz w:val="24"/>
      <w:szCs w:val="20"/>
    </w:rPr>
  </w:style>
  <w:style w:type="paragraph" w:styleId="28">
    <w:name w:val="Body Text First Indent"/>
    <w:basedOn w:val="10"/>
    <w:next w:val="1"/>
    <w:qFormat/>
    <w:locked/>
    <w:uiPriority w:val="0"/>
    <w:pPr>
      <w:spacing w:beforeLines="0" w:afterLines="0"/>
      <w:ind w:firstLine="200" w:firstLineChars="200"/>
    </w:pPr>
    <w:rPr>
      <w:rFonts w:hint="default"/>
      <w:sz w:val="28"/>
    </w:rPr>
  </w:style>
  <w:style w:type="paragraph" w:styleId="29">
    <w:name w:val="Body Text First Indent 2"/>
    <w:basedOn w:val="11"/>
    <w:next w:val="1"/>
    <w:qFormat/>
    <w:locked/>
    <w:uiPriority w:val="0"/>
    <w:pPr>
      <w:ind w:firstLine="420" w:firstLineChars="200"/>
    </w:pPr>
    <w:rPr>
      <w:szCs w:val="24"/>
    </w:rPr>
  </w:style>
  <w:style w:type="table" w:styleId="31">
    <w:name w:val="Table Grid"/>
    <w:basedOn w:val="30"/>
    <w:qFormat/>
    <w:uiPriority w:val="9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locked/>
    <w:uiPriority w:val="0"/>
    <w:rPr>
      <w:b/>
    </w:rPr>
  </w:style>
  <w:style w:type="character" w:styleId="34">
    <w:name w:val="endnote reference"/>
    <w:qFormat/>
    <w:locked/>
    <w:uiPriority w:val="0"/>
    <w:rPr>
      <w:vertAlign w:val="superscript"/>
    </w:rPr>
  </w:style>
  <w:style w:type="character" w:styleId="35">
    <w:name w:val="page number"/>
    <w:basedOn w:val="32"/>
    <w:qFormat/>
    <w:locked/>
    <w:uiPriority w:val="0"/>
  </w:style>
  <w:style w:type="character" w:styleId="36">
    <w:name w:val="Hyperlink"/>
    <w:qFormat/>
    <w:locked/>
    <w:uiPriority w:val="0"/>
    <w:rPr>
      <w:color w:val="0000FF"/>
      <w:u w:val="single"/>
    </w:rPr>
  </w:style>
  <w:style w:type="character" w:styleId="37">
    <w:name w:val="annotation reference"/>
    <w:semiHidden/>
    <w:qFormat/>
    <w:uiPriority w:val="0"/>
    <w:rPr>
      <w:sz w:val="21"/>
    </w:rPr>
  </w:style>
  <w:style w:type="character" w:customStyle="1" w:styleId="38">
    <w:name w:val="正文文本缩进 字符"/>
    <w:link w:val="11"/>
    <w:semiHidden/>
    <w:qFormat/>
    <w:locked/>
    <w:uiPriority w:val="0"/>
    <w:rPr>
      <w:rFonts w:ascii="Times New Roman" w:hAnsi="Times New Roman" w:eastAsia="宋体"/>
      <w:sz w:val="24"/>
    </w:rPr>
  </w:style>
  <w:style w:type="character" w:customStyle="1" w:styleId="39">
    <w:name w:val="页眉 字符"/>
    <w:link w:val="12"/>
    <w:qFormat/>
    <w:locked/>
    <w:uiPriority w:val="0"/>
    <w:rPr>
      <w:sz w:val="18"/>
    </w:rPr>
  </w:style>
  <w:style w:type="character" w:customStyle="1" w:styleId="40">
    <w:name w:val="批注文字 字符"/>
    <w:link w:val="9"/>
    <w:qFormat/>
    <w:locked/>
    <w:uiPriority w:val="0"/>
    <w:rPr>
      <w:rFonts w:ascii="Times New Roman" w:hAnsi="Times New Roman" w:eastAsia="宋体"/>
      <w:sz w:val="24"/>
    </w:rPr>
  </w:style>
  <w:style w:type="character" w:customStyle="1" w:styleId="41">
    <w:name w:val="正文文本 字符"/>
    <w:link w:val="10"/>
    <w:qFormat/>
    <w:locked/>
    <w:uiPriority w:val="0"/>
    <w:rPr>
      <w:sz w:val="18"/>
    </w:rPr>
  </w:style>
  <w:style w:type="character" w:customStyle="1" w:styleId="42">
    <w:name w:val="日期 字符1"/>
    <w:link w:val="18"/>
    <w:qFormat/>
    <w:locked/>
    <w:uiPriority w:val="0"/>
    <w:rPr>
      <w:rFonts w:ascii="Times New Roman" w:hAnsi="Times New Roman" w:eastAsia="宋体"/>
      <w:sz w:val="24"/>
    </w:rPr>
  </w:style>
  <w:style w:type="character" w:customStyle="1" w:styleId="43">
    <w:name w:val="批注框文本 字符"/>
    <w:link w:val="21"/>
    <w:semiHidden/>
    <w:qFormat/>
    <w:locked/>
    <w:uiPriority w:val="0"/>
    <w:rPr>
      <w:rFonts w:ascii="Times New Roman" w:hAnsi="Times New Roman" w:eastAsia="宋体"/>
      <w:sz w:val="18"/>
    </w:rPr>
  </w:style>
  <w:style w:type="character" w:customStyle="1" w:styleId="44">
    <w:name w:val="页脚 字符1"/>
    <w:link w:val="22"/>
    <w:qFormat/>
    <w:locked/>
    <w:uiPriority w:val="99"/>
    <w:rPr>
      <w:sz w:val="18"/>
    </w:rPr>
  </w:style>
  <w:style w:type="character" w:customStyle="1" w:styleId="45">
    <w:name w:val="普通(网站) 字符"/>
    <w:link w:val="25"/>
    <w:qFormat/>
    <w:locked/>
    <w:uiPriority w:val="0"/>
    <w:rPr>
      <w:rFonts w:ascii="宋体" w:hAnsi="宋体" w:eastAsia="宋体"/>
      <w:sz w:val="24"/>
    </w:rPr>
  </w:style>
  <w:style w:type="character" w:customStyle="1" w:styleId="46">
    <w:name w:val="批注主题 字符"/>
    <w:link w:val="27"/>
    <w:semiHidden/>
    <w:qFormat/>
    <w:locked/>
    <w:uiPriority w:val="0"/>
    <w:rPr>
      <w:rFonts w:ascii="Times New Roman" w:hAnsi="Times New Roman" w:eastAsia="宋体"/>
      <w:b/>
      <w:kern w:val="2"/>
      <w:sz w:val="24"/>
    </w:rPr>
  </w:style>
  <w:style w:type="paragraph" w:customStyle="1" w:styleId="47">
    <w:name w:val="简单回函地址"/>
    <w:basedOn w:val="1"/>
    <w:next w:val="48"/>
    <w:qFormat/>
    <w:uiPriority w:val="0"/>
    <w:rPr>
      <w:szCs w:val="20"/>
    </w:rPr>
  </w:style>
  <w:style w:type="paragraph" w:customStyle="1" w:styleId="48">
    <w:name w:val="正文2"/>
    <w:basedOn w:val="1"/>
    <w:qFormat/>
    <w:uiPriority w:val="0"/>
    <w:pPr>
      <w:adjustRightInd w:val="0"/>
      <w:snapToGrid w:val="0"/>
      <w:spacing w:line="440" w:lineRule="atLeast"/>
      <w:ind w:firstLine="567"/>
    </w:pPr>
    <w:rPr>
      <w:sz w:val="24"/>
      <w:szCs w:val="20"/>
    </w:rPr>
  </w:style>
  <w:style w:type="paragraph" w:customStyle="1" w:styleId="49">
    <w:name w:val="Table Paragraph"/>
    <w:basedOn w:val="1"/>
    <w:qFormat/>
    <w:uiPriority w:val="0"/>
  </w:style>
  <w:style w:type="character" w:customStyle="1" w:styleId="50">
    <w:name w:val="fontstyle11"/>
    <w:qFormat/>
    <w:uiPriority w:val="0"/>
    <w:rPr>
      <w:rFonts w:hint="default" w:ascii="TimesNewRomanPSMT" w:hAnsi="TimesNewRomanPSMT"/>
      <w:color w:val="000000"/>
      <w:sz w:val="24"/>
      <w:szCs w:val="24"/>
    </w:rPr>
  </w:style>
  <w:style w:type="character" w:customStyle="1" w:styleId="51">
    <w:name w:val="批注文字 字符1"/>
    <w:semiHidden/>
    <w:qFormat/>
    <w:uiPriority w:val="0"/>
    <w:rPr>
      <w:rFonts w:ascii="Times New Roman" w:hAnsi="Times New Roman" w:eastAsia="宋体"/>
      <w:sz w:val="24"/>
    </w:rPr>
  </w:style>
  <w:style w:type="character" w:customStyle="1" w:styleId="52">
    <w:name w:val="font31"/>
    <w:qFormat/>
    <w:uiPriority w:val="0"/>
    <w:rPr>
      <w:rFonts w:hint="eastAsia" w:ascii="宋体" w:hAnsi="宋体" w:eastAsia="宋体" w:cs="宋体"/>
      <w:b/>
      <w:bCs/>
      <w:color w:val="000000"/>
      <w:sz w:val="18"/>
      <w:szCs w:val="18"/>
      <w:u w:val="none"/>
    </w:rPr>
  </w:style>
  <w:style w:type="character" w:customStyle="1" w:styleId="53">
    <w:name w:val="正文文本 字符1"/>
    <w:semiHidden/>
    <w:qFormat/>
    <w:uiPriority w:val="0"/>
    <w:rPr>
      <w:rFonts w:ascii="Times New Roman" w:hAnsi="Times New Roman" w:eastAsia="宋体"/>
      <w:sz w:val="24"/>
    </w:rPr>
  </w:style>
  <w:style w:type="character" w:customStyle="1" w:styleId="54">
    <w:name w:val="fontstyle31"/>
    <w:qFormat/>
    <w:uiPriority w:val="0"/>
    <w:rPr>
      <w:rFonts w:hint="default" w:ascii="TimesNewRomanPSMT" w:hAnsi="TimesNewRomanPSMT"/>
      <w:color w:val="000000"/>
      <w:sz w:val="24"/>
      <w:szCs w:val="24"/>
    </w:rPr>
  </w:style>
  <w:style w:type="character" w:customStyle="1" w:styleId="55">
    <w:name w:val="fontstyle21"/>
    <w:qFormat/>
    <w:uiPriority w:val="0"/>
    <w:rPr>
      <w:rFonts w:hint="default" w:ascii="TimesNewRomanPSMT" w:hAnsi="TimesNewRomanPSMT"/>
      <w:color w:val="000000"/>
      <w:sz w:val="24"/>
      <w:szCs w:val="24"/>
    </w:rPr>
  </w:style>
  <w:style w:type="character" w:customStyle="1" w:styleId="56">
    <w:name w:val="日期 字符"/>
    <w:semiHidden/>
    <w:qFormat/>
    <w:uiPriority w:val="0"/>
    <w:rPr>
      <w:rFonts w:ascii="Times New Roman" w:hAnsi="Times New Roman" w:eastAsia="宋体"/>
      <w:sz w:val="24"/>
    </w:rPr>
  </w:style>
  <w:style w:type="character" w:customStyle="1" w:styleId="57">
    <w:name w:val="页脚 字符"/>
    <w:qFormat/>
    <w:uiPriority w:val="99"/>
  </w:style>
  <w:style w:type="character" w:customStyle="1" w:styleId="58">
    <w:name w:val="表格 Char"/>
    <w:link w:val="59"/>
    <w:qFormat/>
    <w:locked/>
    <w:uiPriority w:val="0"/>
    <w:rPr>
      <w:rFonts w:ascii="宋体"/>
      <w:sz w:val="21"/>
    </w:rPr>
  </w:style>
  <w:style w:type="paragraph" w:customStyle="1" w:styleId="59">
    <w:name w:val="表格"/>
    <w:basedOn w:val="16"/>
    <w:next w:val="1"/>
    <w:link w:val="58"/>
    <w:qFormat/>
    <w:uiPriority w:val="0"/>
    <w:pPr>
      <w:adjustRightInd w:val="0"/>
      <w:snapToGrid w:val="0"/>
      <w:spacing w:beforeLines="10" w:afterLines="10" w:line="259" w:lineRule="auto"/>
      <w:jc w:val="center"/>
    </w:pPr>
    <w:rPr>
      <w:rFonts w:ascii="宋体"/>
      <w:kern w:val="0"/>
      <w:szCs w:val="20"/>
    </w:rPr>
  </w:style>
  <w:style w:type="character" w:customStyle="1" w:styleId="60">
    <w:name w:val="15"/>
    <w:qFormat/>
    <w:uiPriority w:val="0"/>
    <w:rPr>
      <w:rFonts w:hint="default" w:ascii="Calibri" w:hAnsi="Calibri"/>
      <w:sz w:val="21"/>
      <w:szCs w:val="21"/>
    </w:rPr>
  </w:style>
  <w:style w:type="character" w:customStyle="1" w:styleId="61">
    <w:name w:val="font21"/>
    <w:qFormat/>
    <w:uiPriority w:val="0"/>
    <w:rPr>
      <w:rFonts w:hint="default" w:ascii="Times New Roman" w:hAnsi="Times New Roman" w:cs="Times New Roman"/>
      <w:b/>
      <w:bCs/>
      <w:color w:val="000000"/>
      <w:sz w:val="18"/>
      <w:szCs w:val="18"/>
      <w:u w:val="none"/>
    </w:rPr>
  </w:style>
  <w:style w:type="character" w:customStyle="1" w:styleId="62">
    <w:name w:val="fontstyle01"/>
    <w:qFormat/>
    <w:uiPriority w:val="0"/>
    <w:rPr>
      <w:rFonts w:hint="eastAsia" w:ascii="宋体" w:hAnsi="宋体" w:eastAsia="宋体"/>
      <w:color w:val="000000"/>
      <w:sz w:val="24"/>
      <w:szCs w:val="24"/>
    </w:rPr>
  </w:style>
  <w:style w:type="paragraph" w:customStyle="1" w:styleId="6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c表内容"/>
    <w:basedOn w:val="1"/>
    <w:qFormat/>
    <w:uiPriority w:val="0"/>
    <w:pPr>
      <w:spacing w:line="320" w:lineRule="exact"/>
      <w:jc w:val="center"/>
    </w:pPr>
    <w:rPr>
      <w:rFonts w:cs="Times New Roman"/>
    </w:rPr>
  </w:style>
  <w:style w:type="paragraph" w:customStyle="1" w:styleId="65">
    <w:name w:val="表格样式"/>
    <w:basedOn w:val="1"/>
    <w:qFormat/>
    <w:uiPriority w:val="0"/>
    <w:pPr>
      <w:adjustRightInd w:val="0"/>
      <w:snapToGrid w:val="0"/>
      <w:jc w:val="center"/>
      <w:textAlignment w:val="center"/>
    </w:pPr>
    <w:rPr>
      <w:sz w:val="28"/>
    </w:rPr>
  </w:style>
  <w:style w:type="paragraph" w:customStyle="1" w:styleId="66">
    <w:name w:val=" Char"/>
    <w:basedOn w:val="1"/>
    <w:qFormat/>
    <w:uiPriority w:val="0"/>
  </w:style>
  <w:style w:type="paragraph" w:customStyle="1" w:styleId="67">
    <w:name w:val="表/图标题"/>
    <w:basedOn w:val="68"/>
    <w:qFormat/>
    <w:uiPriority w:val="0"/>
    <w:pPr>
      <w:spacing w:line="240" w:lineRule="auto"/>
      <w:ind w:firstLine="0"/>
      <w:jc w:val="center"/>
    </w:pPr>
    <w:rPr>
      <w:rFonts w:eastAsia="黑体"/>
    </w:rPr>
  </w:style>
  <w:style w:type="paragraph" w:customStyle="1" w:styleId="68">
    <w:name w:val="0正文"/>
    <w:basedOn w:val="1"/>
    <w:qFormat/>
    <w:uiPriority w:val="0"/>
    <w:pPr>
      <w:spacing w:line="360" w:lineRule="auto"/>
      <w:ind w:firstLine="480"/>
    </w:pPr>
    <w:rPr>
      <w:kern w:val="0"/>
    </w:rPr>
  </w:style>
  <w:style w:type="paragraph" w:customStyle="1" w:styleId="69">
    <w:name w:val="c正文"/>
    <w:basedOn w:val="1"/>
    <w:qFormat/>
    <w:uiPriority w:val="0"/>
    <w:pPr>
      <w:adjustRightInd w:val="0"/>
      <w:snapToGrid w:val="0"/>
      <w:spacing w:line="500" w:lineRule="exact"/>
      <w:ind w:firstLine="480" w:firstLineChars="200"/>
    </w:pPr>
    <w:rPr>
      <w:rFonts w:cs="Times New Roman"/>
      <w:sz w:val="24"/>
      <w:szCs w:val="20"/>
    </w:rPr>
  </w:style>
  <w:style w:type="paragraph" w:customStyle="1" w:styleId="70">
    <w:name w:val="c标4"/>
    <w:basedOn w:val="71"/>
    <w:qFormat/>
    <w:uiPriority w:val="0"/>
    <w:pPr>
      <w:spacing w:before="0" w:beforeLines="0"/>
      <w:ind w:firstLine="472" w:firstLineChars="196"/>
    </w:pPr>
  </w:style>
  <w:style w:type="paragraph" w:customStyle="1" w:styleId="71">
    <w:name w:val="c标3"/>
    <w:basedOn w:val="1"/>
    <w:qFormat/>
    <w:uiPriority w:val="0"/>
    <w:pPr>
      <w:spacing w:before="30" w:beforeLines="30" w:line="500" w:lineRule="exact"/>
      <w:ind w:firstLine="98" w:firstLineChars="98"/>
    </w:pPr>
    <w:rPr>
      <w:rFonts w:eastAsia="宋体" w:cs="Times New Roman"/>
      <w:b/>
      <w:sz w:val="24"/>
    </w:rPr>
  </w:style>
  <w:style w:type="paragraph" w:customStyle="1" w:styleId="72">
    <w:name w:val="c表头"/>
    <w:basedOn w:val="1"/>
    <w:qFormat/>
    <w:uiPriority w:val="0"/>
    <w:pPr>
      <w:widowControl/>
      <w:spacing w:after="76" w:afterLines="20" w:line="400" w:lineRule="exact"/>
      <w:ind w:firstLine="413" w:firstLineChars="196"/>
    </w:pPr>
    <w:rPr>
      <w:rFonts w:cs="Times New Roman"/>
      <w:b/>
    </w:rPr>
  </w:style>
  <w:style w:type="paragraph" w:customStyle="1" w:styleId="73">
    <w:name w:val="表内"/>
    <w:qFormat/>
    <w:uiPriority w:val="0"/>
    <w:pPr>
      <w:widowControl w:val="0"/>
      <w:autoSpaceDE w:val="0"/>
      <w:autoSpaceDN w:val="0"/>
      <w:jc w:val="center"/>
      <w:textAlignment w:val="baseline"/>
    </w:pPr>
    <w:rPr>
      <w:rFonts w:ascii="Times New Roman" w:hAnsi="Times New Roman" w:eastAsia="宋体" w:cs="Times New Roman"/>
      <w:color w:val="000000"/>
      <w:sz w:val="21"/>
      <w:lang w:val="en-US" w:eastAsia="zh-CN" w:bidi="ar-SA"/>
    </w:rPr>
  </w:style>
  <w:style w:type="paragraph" w:styleId="74">
    <w:name w:val="No Spacing"/>
    <w:basedOn w:val="1"/>
    <w:qFormat/>
    <w:uiPriority w:val="0"/>
    <w:pPr>
      <w:snapToGrid w:val="0"/>
      <w:spacing w:line="340" w:lineRule="exact"/>
      <w:jc w:val="center"/>
    </w:pPr>
    <w:rPr>
      <w:rFonts w:ascii="Calibri" w:hAnsi="Calibri" w:eastAsia="宋体" w:cs="Times New Roman"/>
      <w:lang w:val="zh-CN"/>
    </w:rPr>
  </w:style>
  <w:style w:type="paragraph" w:customStyle="1" w:styleId="75">
    <w:name w:val="表格文字2"/>
    <w:basedOn w:val="76"/>
    <w:qFormat/>
    <w:uiPriority w:val="0"/>
    <w:pPr>
      <w:adjustRightInd w:val="0"/>
      <w:spacing w:before="60"/>
      <w:jc w:val="center"/>
      <w:textAlignment w:val="baseline"/>
    </w:pPr>
    <w:rPr>
      <w:rFonts w:ascii="宋体" w:hAnsi="Calibri" w:cs="Times New Roman"/>
      <w:kern w:val="0"/>
      <w:sz w:val="24"/>
      <w:szCs w:val="20"/>
    </w:rPr>
  </w:style>
  <w:style w:type="paragraph" w:customStyle="1" w:styleId="76">
    <w:name w:val="表格文字"/>
    <w:basedOn w:val="1"/>
    <w:semiHidden/>
    <w:qFormat/>
    <w:uiPriority w:val="0"/>
    <w:pPr>
      <w:jc w:val="center"/>
    </w:pPr>
    <w:rPr>
      <w:rFonts w:ascii="仿宋_GB2312" w:hAnsi="Arial Black" w:eastAsia="仿宋_GB2312"/>
      <w:kern w:val="44"/>
      <w:sz w:val="24"/>
      <w:szCs w:val="24"/>
    </w:rPr>
  </w:style>
  <w:style w:type="paragraph" w:customStyle="1" w:styleId="77">
    <w:name w:val="样式4"/>
    <w:basedOn w:val="1"/>
    <w:qFormat/>
    <w:uiPriority w:val="0"/>
    <w:pPr>
      <w:spacing w:line="360" w:lineRule="auto"/>
    </w:pPr>
    <w:rPr>
      <w:rFonts w:eastAsia="黑体"/>
      <w:b/>
      <w:sz w:val="24"/>
    </w:rPr>
  </w:style>
  <w:style w:type="paragraph" w:customStyle="1" w:styleId="78">
    <w:name w:val="标准正文"/>
    <w:qFormat/>
    <w:uiPriority w:val="0"/>
    <w:pPr>
      <w:keepNext/>
      <w:keepLines/>
      <w:snapToGrid w:val="0"/>
      <w:spacing w:before="50" w:beforeLines="50" w:after="50" w:afterLines="50"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79">
    <w:name w:val="1、正文"/>
    <w:basedOn w:val="1"/>
    <w:qFormat/>
    <w:uiPriority w:val="0"/>
    <w:pPr>
      <w:spacing w:line="360" w:lineRule="auto"/>
      <w:ind w:firstLine="480" w:firstLineChars="200"/>
    </w:pPr>
    <w:rPr>
      <w:sz w:val="24"/>
    </w:rPr>
  </w:style>
  <w:style w:type="paragraph" w:customStyle="1" w:styleId="8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1">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2">
    <w:name w:val="p17"/>
    <w:basedOn w:val="1"/>
    <w:qFormat/>
    <w:uiPriority w:val="0"/>
    <w:pPr>
      <w:widowControl/>
      <w:spacing w:line="360" w:lineRule="auto"/>
      <w:ind w:right="210" w:firstLine="480"/>
      <w:jc w:val="left"/>
    </w:pPr>
    <w:rPr>
      <w:color w:val="000000"/>
      <w:kern w:val="0"/>
      <w:sz w:val="28"/>
      <w:szCs w:val="28"/>
    </w:rPr>
  </w:style>
  <w:style w:type="paragraph" w:customStyle="1" w:styleId="83">
    <w:name w:val="1表格"/>
    <w:basedOn w:val="1"/>
    <w:qFormat/>
    <w:uiPriority w:val="0"/>
    <w:pPr>
      <w:snapToGrid w:val="0"/>
      <w:spacing w:line="160" w:lineRule="atLeast"/>
      <w:jc w:val="center"/>
    </w:pPr>
    <w:rPr>
      <w:rFonts w:eastAsia="仿宋_GB2312" w:cs="Times New Roman"/>
      <w:szCs w:val="20"/>
    </w:rPr>
  </w:style>
  <w:style w:type="paragraph" w:customStyle="1" w:styleId="84">
    <w:name w:val="报告表格"/>
    <w:basedOn w:val="1"/>
    <w:qFormat/>
    <w:uiPriority w:val="0"/>
    <w:pPr>
      <w:autoSpaceDE w:val="0"/>
      <w:autoSpaceDN w:val="0"/>
      <w:adjustRightInd w:val="0"/>
      <w:spacing w:before="40" w:after="40"/>
      <w:jc w:val="center"/>
      <w:textAlignment w:val="baseline"/>
    </w:pPr>
    <w:rPr>
      <w:rFonts w:ascii="Calibri" w:hAnsi="Calibri" w:cs="Times New Roman"/>
      <w:szCs w:val="22"/>
    </w:rPr>
  </w:style>
  <w:style w:type="paragraph" w:customStyle="1" w:styleId="85">
    <w:name w:val="样式 加粗 黑色 居中 行距: 1.5 倍行距"/>
    <w:basedOn w:val="1"/>
    <w:qFormat/>
    <w:uiPriority w:val="0"/>
    <w:pPr>
      <w:spacing w:line="360" w:lineRule="auto"/>
      <w:jc w:val="center"/>
    </w:pPr>
    <w:rPr>
      <w:rFonts w:ascii="Calibri" w:hAnsi="Calibri"/>
      <w:b/>
      <w:bCs/>
      <w:color w:val="000000"/>
      <w:sz w:val="22"/>
      <w:szCs w:val="20"/>
    </w:rPr>
  </w:style>
  <w:style w:type="character" w:customStyle="1" w:styleId="86">
    <w:name w:val="16"/>
    <w:qFormat/>
    <w:uiPriority w:val="0"/>
    <w:rPr>
      <w:rFonts w:hint="default" w:ascii="TimesNewRoman" w:hAnsi="TimesNewRoman"/>
      <w:i/>
    </w:rPr>
  </w:style>
  <w:style w:type="paragraph" w:customStyle="1" w:styleId="87">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8">
    <w:name w:val="+++正文、"/>
    <w:basedOn w:val="1"/>
    <w:qFormat/>
    <w:uiPriority w:val="99"/>
    <w:pPr>
      <w:autoSpaceDE w:val="0"/>
      <w:autoSpaceDN w:val="0"/>
      <w:adjustRightInd w:val="0"/>
      <w:spacing w:line="360" w:lineRule="auto"/>
      <w:ind w:firstLine="200" w:firstLineChars="200"/>
    </w:pPr>
    <w:rPr>
      <w:rFonts w:ascii="Calibri" w:hAnsi="Calibri"/>
      <w:sz w:val="24"/>
    </w:rPr>
  </w:style>
  <w:style w:type="paragraph" w:customStyle="1" w:styleId="89">
    <w:name w:val="小四宋粗"/>
    <w:basedOn w:val="1"/>
    <w:qFormat/>
    <w:uiPriority w:val="0"/>
    <w:rPr>
      <w:rFonts w:eastAsia="宋体"/>
      <w:b/>
      <w:kern w:val="2"/>
      <w:sz w:val="24"/>
      <w:szCs w:val="24"/>
      <w:lang w:val="en-US" w:eastAsia="zh-CN" w:bidi="ar-SA"/>
    </w:rPr>
  </w:style>
  <w:style w:type="paragraph" w:customStyle="1" w:styleId="90">
    <w:name w:val="表格的标题"/>
    <w:basedOn w:val="1"/>
    <w:qFormat/>
    <w:uiPriority w:val="0"/>
    <w:pPr>
      <w:ind w:firstLine="0" w:firstLineChars="0"/>
      <w:jc w:val="center"/>
    </w:pPr>
    <w:rPr>
      <w:b/>
      <w:sz w:val="21"/>
    </w:rPr>
  </w:style>
  <w:style w:type="paragraph" w:customStyle="1" w:styleId="91">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92">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94">
    <w:name w:val="Table Grid_0"/>
    <w:basedOn w:val="30"/>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5">
    <w:name w:val="3级标题"/>
    <w:basedOn w:val="26"/>
    <w:qFormat/>
    <w:uiPriority w:val="0"/>
    <w:pPr>
      <w:spacing w:before="120" w:after="120"/>
      <w:jc w:val="left"/>
    </w:pPr>
    <w:rPr>
      <w:rFonts w:eastAsia="Times New Roman"/>
      <w:sz w:val="24"/>
    </w:rPr>
  </w:style>
  <w:style w:type="paragraph" w:customStyle="1" w:styleId="96">
    <w:name w:val="表格内容"/>
    <w:basedOn w:val="1"/>
    <w:next w:val="1"/>
    <w:qFormat/>
    <w:uiPriority w:val="0"/>
    <w:pPr>
      <w:spacing w:line="240" w:lineRule="auto"/>
      <w:ind w:firstLine="0" w:firstLineChars="0"/>
      <w:jc w:val="center"/>
    </w:pPr>
    <w:rPr>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36.wmf"/><Relationship Id="rId62" Type="http://schemas.openxmlformats.org/officeDocument/2006/relationships/oleObject" Target="embeddings/oleObject18.bin"/><Relationship Id="rId61" Type="http://schemas.openxmlformats.org/officeDocument/2006/relationships/image" Target="media/image35.wmf"/><Relationship Id="rId60" Type="http://schemas.openxmlformats.org/officeDocument/2006/relationships/oleObject" Target="embeddings/oleObject17.bin"/><Relationship Id="rId6" Type="http://schemas.openxmlformats.org/officeDocument/2006/relationships/footer" Target="footer4.xml"/><Relationship Id="rId59" Type="http://schemas.openxmlformats.org/officeDocument/2006/relationships/image" Target="media/image34.wmf"/><Relationship Id="rId58" Type="http://schemas.openxmlformats.org/officeDocument/2006/relationships/oleObject" Target="embeddings/oleObject16.bin"/><Relationship Id="rId57" Type="http://schemas.openxmlformats.org/officeDocument/2006/relationships/image" Target="media/image33.wmf"/><Relationship Id="rId56" Type="http://schemas.openxmlformats.org/officeDocument/2006/relationships/oleObject" Target="embeddings/oleObject15.bin"/><Relationship Id="rId55" Type="http://schemas.openxmlformats.org/officeDocument/2006/relationships/image" Target="media/image32.wmf"/><Relationship Id="rId54" Type="http://schemas.openxmlformats.org/officeDocument/2006/relationships/oleObject" Target="embeddings/oleObject14.bin"/><Relationship Id="rId53" Type="http://schemas.openxmlformats.org/officeDocument/2006/relationships/image" Target="media/image31.wmf"/><Relationship Id="rId52" Type="http://schemas.openxmlformats.org/officeDocument/2006/relationships/oleObject" Target="embeddings/oleObject13.bin"/><Relationship Id="rId51" Type="http://schemas.openxmlformats.org/officeDocument/2006/relationships/image" Target="media/image30.wmf"/><Relationship Id="rId50" Type="http://schemas.openxmlformats.org/officeDocument/2006/relationships/oleObject" Target="embeddings/oleObject12.bin"/><Relationship Id="rId5" Type="http://schemas.openxmlformats.org/officeDocument/2006/relationships/footer" Target="footer3.xml"/><Relationship Id="rId49" Type="http://schemas.openxmlformats.org/officeDocument/2006/relationships/image" Target="media/image29.wmf"/><Relationship Id="rId48" Type="http://schemas.openxmlformats.org/officeDocument/2006/relationships/oleObject" Target="embeddings/oleObject11.bin"/><Relationship Id="rId47" Type="http://schemas.openxmlformats.org/officeDocument/2006/relationships/image" Target="media/image28.wmf"/><Relationship Id="rId46" Type="http://schemas.openxmlformats.org/officeDocument/2006/relationships/oleObject" Target="embeddings/oleObject10.bin"/><Relationship Id="rId45" Type="http://schemas.openxmlformats.org/officeDocument/2006/relationships/image" Target="media/image27.wmf"/><Relationship Id="rId44" Type="http://schemas.openxmlformats.org/officeDocument/2006/relationships/oleObject" Target="embeddings/oleObject9.bin"/><Relationship Id="rId43" Type="http://schemas.openxmlformats.org/officeDocument/2006/relationships/image" Target="media/image26.wmf"/><Relationship Id="rId42" Type="http://schemas.openxmlformats.org/officeDocument/2006/relationships/oleObject" Target="embeddings/oleObject8.bin"/><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2.xml"/><Relationship Id="rId39" Type="http://schemas.openxmlformats.org/officeDocument/2006/relationships/image" Target="media/image23.emf"/><Relationship Id="rId38" Type="http://schemas.openxmlformats.org/officeDocument/2006/relationships/oleObject" Target="embeddings/oleObject7.bin"/><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emf"/><Relationship Id="rId34" Type="http://schemas.openxmlformats.org/officeDocument/2006/relationships/oleObject" Target="embeddings/oleObject6.bin"/><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emf"/><Relationship Id="rId25" Type="http://schemas.openxmlformats.org/officeDocument/2006/relationships/oleObject" Target="embeddings/oleObject5.bin"/><Relationship Id="rId24" Type="http://schemas.openxmlformats.org/officeDocument/2006/relationships/image" Target="media/image11.emf"/><Relationship Id="rId23" Type="http://schemas.openxmlformats.org/officeDocument/2006/relationships/oleObject" Target="embeddings/oleObject4.bin"/><Relationship Id="rId22" Type="http://schemas.openxmlformats.org/officeDocument/2006/relationships/image" Target="media/image10.emf"/><Relationship Id="rId21" Type="http://schemas.openxmlformats.org/officeDocument/2006/relationships/oleObject" Target="embeddings/oleObject3.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2.bin"/><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c0MTk2NDQ4NTYzIiwKCSJHcm91cElkIiA6ICIxODA5OTI2MjEiLAoJIkltYWdlIiA6ICJpVkJPUncwS0dnb0FBQUFOU1VoRVVnQUFBWTBBQUFJZUNBWUFBQUJIdlZPaEFBQUFDWEJJV1hNQUFBc1RBQUFMRXdFQW1wd1lBQUFnQUVsRVFWUjRuTzNkZVh4VFpiNC84TTlKMGl6ZHQzUlBvYVhRMG5TaHdUdUsra05FMUVGeHVUZzZ1SXk3MTIxd1JrRzhPdGVaOFRwWGxGSEhoYXRjdmVJNmdxZ3dLb2diaWdMcW9MUmdLYmFsZEtFTGRLRjdrbVo5Zm4vUTlLYWxoY1BTcEdrKzc5ZkxGem5QZWM0NTM1UFdmUHFjTFF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108</Pages>
  <Words>67497</Words>
  <Characters>76437</Characters>
  <Lines>753</Lines>
  <Paragraphs>212</Paragraphs>
  <TotalTime>0</TotalTime>
  <ScaleCrop>false</ScaleCrop>
  <LinksUpToDate>false</LinksUpToDate>
  <CharactersWithSpaces>76925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2021-06-02T08:31:00Z</dcterms:created>
  <dc:creator>lhj</dc:creator>
  <cp:lastModifiedBy>Curtain。</cp:lastModifiedBy>
  <cp:lastPrinted>2021-05-18T07:54:00Z</cp:lastPrinted>
  <dcterms:modified xsi:type="dcterms:W3CDTF">2022-06-21T06:45:29Z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5114D3A886004C5D93E714302BB5D8F7</vt:lpwstr>
  </property>
</Properties>
</file>