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C9565">
      <w:pPr>
        <w:jc w:val="center"/>
        <w:rPr>
          <w:rFonts w:ascii="方正小标宋简体" w:eastAsia="方正小标宋简体"/>
          <w:color w:val="FF0000"/>
          <w:spacing w:val="100"/>
          <w:w w:val="80"/>
          <w:sz w:val="134"/>
        </w:rPr>
      </w:pPr>
      <w:r>
        <w:rPr>
          <w:rFonts w:hint="eastAsia" w:ascii="方正小标宋简体" w:eastAsia="方正小标宋简体"/>
          <w:color w:val="FF0000"/>
          <w:spacing w:val="100"/>
          <w:w w:val="80"/>
          <w:sz w:val="134"/>
        </w:rPr>
        <w:t>犍为县民政局</w:t>
      </w:r>
    </w:p>
    <w:p w14:paraId="4E38B564">
      <w:r>
        <w:rPr>
          <w:color w:val="FF0000"/>
        </w:rPr>
        <w:pict>
          <v:line id="_x0000_s1026" o:spid="_x0000_s1026" o:spt="20" style="position:absolute;left:0pt;margin-left:0pt;margin-top:0pt;height:0pt;width:448pt;z-index:251659264;mso-width-relative:page;mso-height-relative:page;" stroked="t" coordsize="21600,21600" o:gfxdata="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E1gQs4AAAAC&#10;AQAADwAAAAAAAAABACAAAAAiAAAAZHJzL2Rvd25yZXYueG1sUEsBAhQAFAAAAAgAh07iQAU1qfTt&#10;AQAA4gMAAA4AAAAAAAAAAQAgAAAAHQEAAGRycy9lMm9Eb2MueG1sUEsFBgAAAAAGAAYAWQEAAHwF&#10;AAAAAA==&#10;">
            <v:path arrowok="t"/>
            <v:fill focussize="0,0"/>
            <v:stroke weight="4.5pt" color="#FF0000" linestyle="thickThin"/>
            <v:imagedata o:title=""/>
            <o:lock v:ext="edit"/>
          </v:line>
        </w:pict>
      </w:r>
    </w:p>
    <w:p w14:paraId="279C4E1F">
      <w:pPr>
        <w:spacing w:line="700" w:lineRule="exact"/>
        <w:jc w:val="center"/>
      </w:pPr>
      <w:r>
        <w:tab/>
      </w:r>
    </w:p>
    <w:p w14:paraId="66FFF7FD">
      <w:pPr>
        <w:spacing w:line="700" w:lineRule="exact"/>
        <w:jc w:val="center"/>
        <w:rPr>
          <w:rFonts w:ascii="方正小标宋简体" w:hAnsi="华文中宋" w:eastAsia="方正小标宋简体" w:cs="Arial"/>
          <w:sz w:val="44"/>
          <w:szCs w:val="44"/>
        </w:rPr>
      </w:pPr>
      <w:r>
        <w:rPr>
          <w:rFonts w:hint="eastAsia" w:ascii="方正小标宋简体" w:hAnsi="华文中宋" w:eastAsia="方正小标宋简体" w:cs="Arial"/>
          <w:sz w:val="44"/>
          <w:szCs w:val="44"/>
        </w:rPr>
        <w:t>犍为县民政局</w:t>
      </w:r>
    </w:p>
    <w:p w14:paraId="0D980F61">
      <w:pPr>
        <w:spacing w:line="700" w:lineRule="exact"/>
        <w:jc w:val="center"/>
        <w:rPr>
          <w:rFonts w:ascii="方正小标宋简体" w:hAnsi="华文中宋" w:eastAsia="方正小标宋简体" w:cs="Arial"/>
          <w:sz w:val="44"/>
          <w:szCs w:val="44"/>
        </w:rPr>
      </w:pPr>
      <w:r>
        <w:rPr>
          <w:rFonts w:hint="eastAsia" w:ascii="方正小标宋简体" w:hAnsi="华文中宋" w:eastAsia="方正小标宋简体" w:cs="Arial"/>
          <w:sz w:val="44"/>
          <w:szCs w:val="44"/>
        </w:rPr>
        <w:t>2023年度福彩公益金绩效自评报告</w:t>
      </w:r>
    </w:p>
    <w:p w14:paraId="7D08C2F4">
      <w:pPr>
        <w:spacing w:line="600" w:lineRule="exact"/>
        <w:jc w:val="center"/>
        <w:rPr>
          <w:rFonts w:ascii="仿宋_GB2312"/>
          <w:szCs w:val="32"/>
        </w:rPr>
      </w:pPr>
    </w:p>
    <w:p w14:paraId="01F06095">
      <w:pPr>
        <w:spacing w:line="640" w:lineRule="exact"/>
        <w:ind w:firstLine="640" w:firstLineChars="200"/>
        <w:rPr>
          <w:rFonts w:ascii="黑体" w:hAnsi="黑体" w:eastAsia="黑体"/>
          <w:sz w:val="32"/>
          <w:szCs w:val="32"/>
        </w:rPr>
      </w:pPr>
      <w:r>
        <w:rPr>
          <w:rFonts w:hint="eastAsia" w:ascii="黑体" w:hAnsi="黑体" w:eastAsia="黑体"/>
          <w:sz w:val="32"/>
          <w:szCs w:val="32"/>
        </w:rPr>
        <w:t>一、绩效目标分解下达情况</w:t>
      </w:r>
    </w:p>
    <w:p w14:paraId="0E27D3C1">
      <w:pPr>
        <w:spacing w:line="640" w:lineRule="exact"/>
        <w:ind w:firstLine="640" w:firstLineChars="200"/>
        <w:rPr>
          <w:rFonts w:ascii="楷体_GB2312" w:eastAsia="楷体_GB2312"/>
          <w:sz w:val="32"/>
          <w:szCs w:val="32"/>
        </w:rPr>
      </w:pPr>
      <w:r>
        <w:rPr>
          <w:rFonts w:hint="eastAsia" w:ascii="楷体_GB2312" w:eastAsia="楷体_GB2312"/>
          <w:sz w:val="32"/>
          <w:szCs w:val="32"/>
        </w:rPr>
        <w:t>（一）中央下达福彩公益金转移支付预算和绩效目标情况。</w:t>
      </w:r>
    </w:p>
    <w:p w14:paraId="01286903">
      <w:pPr>
        <w:spacing w:line="640" w:lineRule="exact"/>
        <w:ind w:firstLine="640" w:firstLineChars="200"/>
        <w:rPr>
          <w:rFonts w:ascii="仿宋_GB2312"/>
          <w:sz w:val="32"/>
          <w:szCs w:val="32"/>
        </w:rPr>
      </w:pPr>
      <w:r>
        <w:rPr>
          <w:rFonts w:hint="eastAsia" w:ascii="仿宋_GB2312"/>
          <w:sz w:val="32"/>
          <w:szCs w:val="32"/>
        </w:rPr>
        <w:t>1.中央下达福彩公益金转移支付预算情况。</w:t>
      </w:r>
    </w:p>
    <w:p w14:paraId="47BED844">
      <w:pPr>
        <w:spacing w:line="640" w:lineRule="exact"/>
        <w:ind w:firstLine="640" w:firstLineChars="200"/>
        <w:rPr>
          <w:rFonts w:ascii="仿宋_GB2312"/>
          <w:sz w:val="32"/>
          <w:szCs w:val="32"/>
        </w:rPr>
      </w:pPr>
      <w:r>
        <w:rPr>
          <w:rFonts w:hint="eastAsia" w:ascii="仿宋_GB2312"/>
          <w:sz w:val="32"/>
          <w:szCs w:val="32"/>
        </w:rPr>
        <w:t>2023年中央下达我县福彩公益金19.3万元，其中：儿童福利类项目，川财社[2022]192号提前下达“福彩圆梦.孤儿助学”工程19万元,</w:t>
      </w:r>
      <w:r>
        <w:rPr>
          <w:rFonts w:hint="eastAsia"/>
        </w:rPr>
        <w:t xml:space="preserve"> </w:t>
      </w:r>
      <w:r>
        <w:rPr>
          <w:rFonts w:hint="eastAsia" w:ascii="仿宋_GB2312"/>
          <w:sz w:val="32"/>
          <w:szCs w:val="32"/>
        </w:rPr>
        <w:t>乐市财政社〔2023〕101号下达孤儿医疗康复“明天计划”0.3万元。</w:t>
      </w:r>
    </w:p>
    <w:p w14:paraId="3AD6C060">
      <w:pPr>
        <w:spacing w:line="640" w:lineRule="exact"/>
        <w:ind w:firstLine="640" w:firstLineChars="200"/>
        <w:rPr>
          <w:rFonts w:ascii="仿宋_GB2312"/>
          <w:sz w:val="32"/>
          <w:szCs w:val="32"/>
        </w:rPr>
      </w:pPr>
      <w:r>
        <w:rPr>
          <w:rFonts w:hint="eastAsia" w:ascii="仿宋_GB2312"/>
          <w:sz w:val="32"/>
          <w:szCs w:val="32"/>
        </w:rPr>
        <w:t>2.中央下达福彩公益金绩效目标情况。</w:t>
      </w:r>
    </w:p>
    <w:p w14:paraId="3ACDFB58">
      <w:pPr>
        <w:spacing w:line="640" w:lineRule="exact"/>
        <w:ind w:firstLine="640" w:firstLineChars="200"/>
        <w:rPr>
          <w:rFonts w:ascii="仿宋_GB2312"/>
          <w:sz w:val="32"/>
          <w:szCs w:val="32"/>
        </w:rPr>
      </w:pPr>
      <w:r>
        <w:rPr>
          <w:rFonts w:hint="eastAsia" w:ascii="仿宋_GB2312"/>
          <w:sz w:val="32"/>
          <w:szCs w:val="32"/>
        </w:rPr>
        <w:t>按照福利彩票“助残、救孤、济困”的发行宗旨，资助为老年人、残疾人、儿童等特殊群体提供服务的社会福利项目，以及符合宗旨的社会公益项目，促进社会福利事业发展。目标1：开展“孤儿助学工程”，资助考上普通全日制本科、专科等学习的孤儿完成学业；目标2：继续开展孤儿医疗康复“明天计划”，保障孤儿身心健康成长。</w:t>
      </w:r>
    </w:p>
    <w:p w14:paraId="36982C51">
      <w:pPr>
        <w:spacing w:line="640" w:lineRule="exact"/>
        <w:ind w:firstLine="640" w:firstLineChars="200"/>
        <w:rPr>
          <w:rFonts w:ascii="楷体_GB2312" w:eastAsia="楷体_GB2312"/>
          <w:sz w:val="32"/>
          <w:szCs w:val="32"/>
        </w:rPr>
      </w:pPr>
      <w:r>
        <w:rPr>
          <w:rFonts w:hint="eastAsia" w:ascii="楷体_GB2312" w:eastAsia="楷体_GB2312"/>
          <w:sz w:val="32"/>
          <w:szCs w:val="32"/>
        </w:rPr>
        <w:t>（二）省内资金安排、分解下达预算和绩效目标情况。</w:t>
      </w:r>
    </w:p>
    <w:p w14:paraId="1B2094D3">
      <w:pPr>
        <w:spacing w:line="640" w:lineRule="exact"/>
        <w:ind w:firstLine="640" w:firstLineChars="200"/>
        <w:rPr>
          <w:rFonts w:ascii="仿宋_GB2312"/>
          <w:sz w:val="32"/>
          <w:szCs w:val="32"/>
        </w:rPr>
      </w:pPr>
      <w:r>
        <w:rPr>
          <w:rFonts w:hint="eastAsia" w:ascii="仿宋_GB2312"/>
          <w:sz w:val="32"/>
          <w:szCs w:val="32"/>
        </w:rPr>
        <w:t>1.省内资金下达福彩公益金预算情况。</w:t>
      </w:r>
    </w:p>
    <w:p w14:paraId="39F395C1">
      <w:pPr>
        <w:spacing w:line="640" w:lineRule="exact"/>
        <w:ind w:firstLine="640" w:firstLineChars="200"/>
        <w:rPr>
          <w:rFonts w:hint="eastAsia" w:ascii="仿宋_GB2312"/>
          <w:sz w:val="32"/>
          <w:szCs w:val="32"/>
        </w:rPr>
      </w:pPr>
      <w:r>
        <w:rPr>
          <w:rFonts w:hint="eastAsia" w:ascii="仿宋_GB2312"/>
          <w:sz w:val="32"/>
          <w:szCs w:val="32"/>
        </w:rPr>
        <w:t>2023年省内资金安排、分解下达我县福彩公益金163.5万，其中：老年人福利类项目，川财社[2022]193号下达养老服务发展定向财力转移支付98万元，用于养老服务体系建设；儿童福利类项目，川财社[2023]57号下达助学金5.5万元，用于孤儿和事实无人抚养儿童助学；社会公益类项目，川财社[2023]57号下达精神障碍社区康复试点60万元，用于2个精神障碍社区康复服务站点建设。</w:t>
      </w:r>
    </w:p>
    <w:p w14:paraId="5037D974">
      <w:pPr>
        <w:spacing w:line="640" w:lineRule="exact"/>
        <w:ind w:firstLine="640" w:firstLineChars="200"/>
        <w:rPr>
          <w:rFonts w:ascii="仿宋_GB2312"/>
          <w:sz w:val="32"/>
          <w:szCs w:val="32"/>
        </w:rPr>
      </w:pPr>
      <w:r>
        <w:rPr>
          <w:rFonts w:hint="eastAsia" w:ascii="仿宋_GB2312"/>
          <w:sz w:val="32"/>
          <w:szCs w:val="32"/>
        </w:rPr>
        <w:t>2.省内资金下达困难群众救助补助资金绩效目标情况。</w:t>
      </w:r>
    </w:p>
    <w:p w14:paraId="04D2BF16">
      <w:pPr>
        <w:spacing w:line="640" w:lineRule="exact"/>
        <w:ind w:firstLine="640" w:firstLineChars="200"/>
        <w:rPr>
          <w:rFonts w:ascii="仿宋_GB2312"/>
          <w:sz w:val="32"/>
          <w:szCs w:val="32"/>
        </w:rPr>
      </w:pPr>
      <w:r>
        <w:rPr>
          <w:rFonts w:hint="eastAsia" w:ascii="仿宋_GB2312"/>
          <w:sz w:val="32"/>
          <w:szCs w:val="32"/>
        </w:rPr>
        <w:t>按照福利彩票“助残、救孤、济困”的发行宗旨，资助为老年人、残疾人、儿童等特殊群体提供服务的社会福利项目，以及符合宗旨的社会公益项目，促进社会福利事业发展。目标1：积极支持构建以居家为基础、社区为依托、机构为补充、医养结合的社会养老服务体系，增加有效服务供给，提升养老服务质量，不断满足人民群众日益增长的养老服务需求；目标2：</w:t>
      </w:r>
      <w:r>
        <w:rPr>
          <w:rFonts w:hint="eastAsia" w:ascii="仿宋_GB2312"/>
          <w:sz w:val="32"/>
          <w:szCs w:val="32"/>
          <w:lang w:val="zh-CN"/>
        </w:rPr>
        <w:t>推进残疾人服务体系建设，不断优化残疾人服务基础设施和服务内容，提升服务能力；目标</w:t>
      </w:r>
      <w:r>
        <w:rPr>
          <w:rFonts w:hint="eastAsia" w:ascii="仿宋_GB2312"/>
          <w:sz w:val="32"/>
          <w:szCs w:val="32"/>
        </w:rPr>
        <w:t>3：开展“孤儿助学工程”，资助考上普通全日制本科、专科等学习的孤儿完成学业</w:t>
      </w:r>
      <w:r>
        <w:rPr>
          <w:rFonts w:hint="eastAsia" w:ascii="仿宋_GB2312"/>
          <w:sz w:val="32"/>
          <w:szCs w:val="32"/>
          <w:lang w:val="zh-CN"/>
        </w:rPr>
        <w:t>。</w:t>
      </w:r>
    </w:p>
    <w:p w14:paraId="7F188ECC">
      <w:pPr>
        <w:numPr>
          <w:ilvl w:val="0"/>
          <w:numId w:val="1"/>
        </w:numPr>
        <w:spacing w:line="640" w:lineRule="exact"/>
        <w:ind w:firstLine="640" w:firstLineChars="200"/>
        <w:rPr>
          <w:rFonts w:ascii="楷体_GB2312" w:eastAsia="楷体_GB2312"/>
          <w:sz w:val="32"/>
          <w:szCs w:val="32"/>
        </w:rPr>
      </w:pPr>
      <w:r>
        <w:rPr>
          <w:rFonts w:hint="eastAsia" w:ascii="楷体_GB2312" w:eastAsia="楷体_GB2312"/>
          <w:sz w:val="32"/>
          <w:szCs w:val="32"/>
        </w:rPr>
        <w:t>县级留成资金安排、分解下达预算和绩效目标情况。</w:t>
      </w:r>
    </w:p>
    <w:p w14:paraId="321D0AF9">
      <w:pPr>
        <w:spacing w:line="640" w:lineRule="exact"/>
        <w:ind w:firstLine="640" w:firstLineChars="200"/>
        <w:rPr>
          <w:rFonts w:ascii="仿宋_GB2312"/>
          <w:sz w:val="32"/>
          <w:szCs w:val="32"/>
        </w:rPr>
      </w:pPr>
      <w:r>
        <w:rPr>
          <w:rFonts w:hint="eastAsia" w:ascii="仿宋_GB2312"/>
          <w:sz w:val="32"/>
          <w:szCs w:val="32"/>
        </w:rPr>
        <w:t>1.县级留成福彩公益金预算情况</w:t>
      </w:r>
    </w:p>
    <w:p w14:paraId="4DA74E15">
      <w:pPr>
        <w:spacing w:line="640" w:lineRule="exact"/>
        <w:ind w:firstLine="640" w:firstLineChars="200"/>
        <w:rPr>
          <w:rFonts w:ascii="仿宋_GB2312"/>
          <w:sz w:val="32"/>
          <w:szCs w:val="32"/>
        </w:rPr>
      </w:pPr>
      <w:r>
        <w:rPr>
          <w:rFonts w:hint="eastAsia" w:ascii="仿宋_GB2312"/>
          <w:sz w:val="32"/>
          <w:szCs w:val="32"/>
        </w:rPr>
        <w:t>2023年我县收到地方分成福彩公益金295.1万元，县财政分配福彩公益金295.1万元。其中：老年人福利类项目261.36万元，儿童福利类项目23.43万元，社会公益类项目10.31万元。</w:t>
      </w:r>
    </w:p>
    <w:p w14:paraId="7DC1892B">
      <w:pPr>
        <w:spacing w:line="640" w:lineRule="exact"/>
        <w:ind w:firstLine="640" w:firstLineChars="200"/>
        <w:rPr>
          <w:rFonts w:ascii="仿宋_GB2312"/>
          <w:sz w:val="32"/>
          <w:szCs w:val="32"/>
        </w:rPr>
      </w:pPr>
      <w:r>
        <w:rPr>
          <w:rFonts w:hint="eastAsia" w:ascii="仿宋_GB2312"/>
          <w:sz w:val="32"/>
          <w:szCs w:val="32"/>
        </w:rPr>
        <w:t>2.县级留成福彩公益金绩效目标情况。</w:t>
      </w:r>
    </w:p>
    <w:p w14:paraId="13C7060A">
      <w:pPr>
        <w:spacing w:line="640" w:lineRule="exact"/>
        <w:ind w:firstLine="640" w:firstLineChars="200"/>
        <w:rPr>
          <w:rFonts w:ascii="仿宋_GB2312"/>
          <w:sz w:val="32"/>
          <w:szCs w:val="32"/>
        </w:rPr>
      </w:pPr>
      <w:r>
        <w:rPr>
          <w:rFonts w:hint="eastAsia" w:ascii="仿宋_GB2312"/>
          <w:sz w:val="32"/>
          <w:szCs w:val="32"/>
        </w:rPr>
        <w:t>县级福彩公益金使用以“扶老、助残、救孤、济困”为宗旨，切实推动以老年人、残疾人、儿童福利为重点的社会福利、社会救助和其他福利事业的发展，充分发挥社会效应，全力资助具有福利性质的建设项目。</w:t>
      </w:r>
    </w:p>
    <w:p w14:paraId="33C4C88A">
      <w:pPr>
        <w:spacing w:line="640" w:lineRule="exact"/>
        <w:ind w:firstLine="640" w:firstLineChars="200"/>
        <w:rPr>
          <w:rFonts w:ascii="黑体" w:hAnsi="黑体" w:eastAsia="黑体"/>
          <w:sz w:val="32"/>
          <w:szCs w:val="32"/>
        </w:rPr>
      </w:pPr>
      <w:r>
        <w:rPr>
          <w:rFonts w:hint="eastAsia" w:ascii="黑体" w:hAnsi="黑体" w:eastAsia="黑体"/>
          <w:sz w:val="32"/>
          <w:szCs w:val="32"/>
        </w:rPr>
        <w:t>二、绩效目标完成情况分析</w:t>
      </w:r>
    </w:p>
    <w:p w14:paraId="472F5FBD">
      <w:pPr>
        <w:spacing w:line="640" w:lineRule="exact"/>
        <w:ind w:firstLine="640" w:firstLineChars="200"/>
        <w:rPr>
          <w:rFonts w:ascii="楷体_GB2312" w:eastAsia="楷体_GB2312"/>
          <w:sz w:val="32"/>
          <w:szCs w:val="32"/>
        </w:rPr>
      </w:pPr>
      <w:r>
        <w:rPr>
          <w:rFonts w:hint="eastAsia" w:ascii="楷体_GB2312" w:eastAsia="楷体_GB2312"/>
          <w:sz w:val="32"/>
          <w:szCs w:val="32"/>
        </w:rPr>
        <w:t>（一）资金投入情况分析。</w:t>
      </w:r>
    </w:p>
    <w:p w14:paraId="39A3E163">
      <w:pPr>
        <w:spacing w:line="640" w:lineRule="exact"/>
        <w:ind w:firstLine="640" w:firstLineChars="200"/>
        <w:rPr>
          <w:rFonts w:ascii="仿宋_GB2312"/>
          <w:sz w:val="32"/>
          <w:szCs w:val="32"/>
        </w:rPr>
      </w:pPr>
      <w:r>
        <w:rPr>
          <w:rFonts w:hint="eastAsia" w:ascii="仿宋_GB2312"/>
          <w:sz w:val="32"/>
          <w:szCs w:val="32"/>
        </w:rPr>
        <w:t>1.项目资金到位情况分析。</w:t>
      </w:r>
    </w:p>
    <w:p w14:paraId="071976E7">
      <w:pPr>
        <w:spacing w:line="640" w:lineRule="exact"/>
        <w:ind w:firstLine="640" w:firstLineChars="200"/>
        <w:rPr>
          <w:rFonts w:ascii="仿宋_GB2312"/>
          <w:sz w:val="32"/>
          <w:szCs w:val="32"/>
        </w:rPr>
      </w:pPr>
      <w:r>
        <w:rPr>
          <w:rFonts w:hint="eastAsia" w:ascii="仿宋_GB2312"/>
          <w:sz w:val="32"/>
          <w:szCs w:val="32"/>
        </w:rPr>
        <w:t>2023年，我县到位福彩公益金477.9万元，其中：中央资金19.3万元，省级资金163.5万元，县级资金295.1万元。资金到位率100%。</w:t>
      </w:r>
    </w:p>
    <w:p w14:paraId="34AB53AF">
      <w:pPr>
        <w:spacing w:line="640" w:lineRule="exact"/>
        <w:ind w:firstLine="640" w:firstLineChars="200"/>
        <w:rPr>
          <w:rFonts w:ascii="仿宋_GB2312"/>
          <w:sz w:val="32"/>
          <w:szCs w:val="32"/>
        </w:rPr>
      </w:pPr>
      <w:r>
        <w:rPr>
          <w:rFonts w:hint="eastAsia" w:ascii="仿宋_GB2312"/>
          <w:sz w:val="32"/>
          <w:szCs w:val="32"/>
        </w:rPr>
        <w:t>2.项目资金执行情况分析。</w:t>
      </w:r>
    </w:p>
    <w:p w14:paraId="61034714">
      <w:pPr>
        <w:spacing w:line="640" w:lineRule="exact"/>
        <w:ind w:firstLine="640" w:firstLineChars="200"/>
        <w:rPr>
          <w:rFonts w:hint="eastAsia" w:ascii="仿宋_GB2312"/>
          <w:sz w:val="32"/>
          <w:szCs w:val="32"/>
        </w:rPr>
      </w:pPr>
      <w:r>
        <w:rPr>
          <w:rFonts w:hint="eastAsia" w:ascii="仿宋_GB2312"/>
          <w:sz w:val="32"/>
          <w:szCs w:val="32"/>
        </w:rPr>
        <w:t>2023年我县支出福彩公益金438.34万元，预算执行率为91.72%。其中：中央福彩公益金支出19.13万元，预算执行率为99.12%；省级福彩公益金支出126.07万元，预算执行率为77.11%；县级福彩公益金支出293.04万元，预算执行率为99.3%。其中：老年人福利类项目支出355.17万元，预算执行率为98.83%；儿童福利类项目支出47.02万元，预算执行率为97.49%；社会公益类项目支出36.05万元，预算执行率为51.27%。</w:t>
      </w:r>
    </w:p>
    <w:p w14:paraId="18D7EAB2">
      <w:pPr>
        <w:spacing w:line="640" w:lineRule="exact"/>
        <w:ind w:firstLine="640" w:firstLineChars="200"/>
        <w:rPr>
          <w:rFonts w:ascii="仿宋_GB2312"/>
          <w:sz w:val="32"/>
          <w:szCs w:val="32"/>
        </w:rPr>
      </w:pPr>
      <w:r>
        <w:rPr>
          <w:rFonts w:hint="eastAsia" w:ascii="仿宋_GB2312"/>
          <w:sz w:val="32"/>
          <w:szCs w:val="32"/>
        </w:rPr>
        <w:t>3.项目资金管理情况分析。</w:t>
      </w:r>
    </w:p>
    <w:p w14:paraId="5F763C87">
      <w:pPr>
        <w:spacing w:line="640" w:lineRule="exact"/>
        <w:ind w:firstLine="640" w:firstLineChars="200"/>
        <w:rPr>
          <w:rFonts w:ascii="仿宋_GB2312"/>
          <w:sz w:val="32"/>
          <w:szCs w:val="32"/>
        </w:rPr>
      </w:pPr>
      <w:r>
        <w:rPr>
          <w:rFonts w:hint="eastAsia" w:ascii="仿宋_GB2312"/>
          <w:sz w:val="32"/>
          <w:szCs w:val="32"/>
        </w:rPr>
        <w:t>福彩公益金项目资金的使用和管理严格遵守《财政厅 民政厅关于四川省中央和省级财政彩票公益金支持社会福利事业资金管理办法》（川财社[2020]64号），做到规范使用、专款专用，不断提高资金使用率。财务管理制度健全，执行情况良好，资金支出和原定用途、预算批复用途相符，支出符合资金管理办法和财务管理制度规定。会计核算真实完整，列入“2296002-用于社会福利的彩票公益金支出”基金科目决算核销。资金拨付程序规范，定期对资金使用情况进行检查，严格确保项目质量。福彩公益金由县财政局统一管理，并会同县民政局结合上级补助资金情况，科学合理编制预算，加强资金统筹使用。补助资金按照支出方向单独记账、分别核算。补助资金支付严格执行国库集中支付制度，对需要实施政府采购的项目按照政府采购项目政策实施。不断完善福彩公益金信息公开内容，信息公开不仅有完整的文字内容，还附有公示表格，分别反映了福彩公益金资助项目类型、项目名称、项目实施单位、资金额度、联系方式等内容，接受社会监督。</w:t>
      </w:r>
    </w:p>
    <w:p w14:paraId="6B130C3A">
      <w:pPr>
        <w:spacing w:line="640" w:lineRule="exact"/>
        <w:ind w:firstLine="640" w:firstLineChars="200"/>
        <w:rPr>
          <w:rFonts w:ascii="楷体_GB2312" w:eastAsia="楷体_GB2312"/>
          <w:sz w:val="32"/>
          <w:szCs w:val="32"/>
        </w:rPr>
      </w:pPr>
      <w:r>
        <w:rPr>
          <w:rFonts w:hint="eastAsia" w:ascii="楷体_GB2312" w:eastAsia="楷体_GB2312"/>
          <w:sz w:val="32"/>
          <w:szCs w:val="32"/>
        </w:rPr>
        <w:t>（二）总体绩效目标完成情况分析。</w:t>
      </w:r>
    </w:p>
    <w:p w14:paraId="03CC5CA6">
      <w:pPr>
        <w:spacing w:line="640" w:lineRule="exact"/>
        <w:ind w:firstLine="640" w:firstLineChars="200"/>
        <w:rPr>
          <w:rFonts w:ascii="仿宋_GB2312"/>
          <w:sz w:val="32"/>
          <w:szCs w:val="32"/>
        </w:rPr>
      </w:pPr>
      <w:r>
        <w:rPr>
          <w:rFonts w:hint="eastAsia" w:ascii="仿宋_GB2312"/>
          <w:sz w:val="32"/>
          <w:szCs w:val="32"/>
        </w:rPr>
        <w:t>根据2023年度福彩公益金绩效评价指标体系和绩效自评情况，所有项目均已安排实施，总体绩效目标基本完成。一是开展“福彩圆梦.孤儿助学”工程，资助考上普通全日制本科、专科等学习的孤儿完成学业；二是开展孤儿医疗康复“明天计划；三是为养老机构购买机构责任险，对高龄老人发放高龄津贴，为老人提供居家养老服务；四是完成精神障碍社区康复服务站点建设。</w:t>
      </w:r>
    </w:p>
    <w:p w14:paraId="7769435C">
      <w:pPr>
        <w:spacing w:line="640" w:lineRule="exact"/>
        <w:ind w:firstLine="640" w:firstLineChars="200"/>
        <w:rPr>
          <w:rFonts w:ascii="楷体_GB2312" w:eastAsia="楷体_GB2312"/>
          <w:sz w:val="32"/>
          <w:szCs w:val="32"/>
        </w:rPr>
      </w:pPr>
      <w:r>
        <w:rPr>
          <w:rFonts w:hint="eastAsia" w:ascii="楷体_GB2312" w:eastAsia="楷体_GB2312"/>
          <w:sz w:val="32"/>
          <w:szCs w:val="32"/>
        </w:rPr>
        <w:t>（三）绩效指标完成情况分析。</w:t>
      </w:r>
    </w:p>
    <w:p w14:paraId="27293035">
      <w:pPr>
        <w:spacing w:line="640" w:lineRule="exact"/>
        <w:ind w:firstLine="640" w:firstLineChars="200"/>
        <w:rPr>
          <w:rFonts w:ascii="仿宋_GB2312"/>
          <w:sz w:val="32"/>
          <w:szCs w:val="32"/>
        </w:rPr>
      </w:pPr>
      <w:r>
        <w:rPr>
          <w:rFonts w:hint="eastAsia" w:ascii="仿宋_GB2312"/>
          <w:sz w:val="32"/>
          <w:szCs w:val="32"/>
        </w:rPr>
        <w:t>1.产出指标完成情况分析。</w:t>
      </w:r>
    </w:p>
    <w:p w14:paraId="45FE8E57">
      <w:pPr>
        <w:spacing w:line="640" w:lineRule="exact"/>
        <w:ind w:firstLine="640" w:firstLineChars="200"/>
        <w:rPr>
          <w:rFonts w:ascii="仿宋_GB2312"/>
          <w:sz w:val="32"/>
          <w:szCs w:val="32"/>
        </w:rPr>
      </w:pPr>
      <w:r>
        <w:rPr>
          <w:rFonts w:hint="eastAsia" w:ascii="仿宋_GB2312"/>
          <w:sz w:val="32"/>
          <w:szCs w:val="32"/>
        </w:rPr>
        <w:t>（1）数量指标。</w:t>
      </w:r>
    </w:p>
    <w:p w14:paraId="564A994E">
      <w:pPr>
        <w:spacing w:line="640" w:lineRule="exact"/>
        <w:ind w:firstLine="640" w:firstLineChars="200"/>
        <w:rPr>
          <w:rFonts w:ascii="仿宋_GB2312"/>
          <w:sz w:val="32"/>
          <w:szCs w:val="32"/>
        </w:rPr>
      </w:pPr>
      <w:r>
        <w:rPr>
          <w:rFonts w:hint="eastAsia" w:ascii="仿宋_GB2312"/>
          <w:sz w:val="32"/>
          <w:szCs w:val="32"/>
        </w:rPr>
        <w:t>资助19名考上普通全日制本科、专科等学习的孤儿完成学业；为1名孤儿报销医疗住院费用；为552名老人提供居家养老服务；为3462名高龄老人发放高龄津贴；为20所公办养老机构购买机构责任险；完成2个精神障碍社区康复服务站点建设。</w:t>
      </w:r>
    </w:p>
    <w:p w14:paraId="5231C338">
      <w:pPr>
        <w:spacing w:line="640" w:lineRule="exact"/>
        <w:ind w:firstLine="640" w:firstLineChars="200"/>
        <w:rPr>
          <w:rFonts w:ascii="仿宋_GB2312"/>
          <w:sz w:val="32"/>
          <w:szCs w:val="32"/>
        </w:rPr>
      </w:pPr>
      <w:r>
        <w:rPr>
          <w:rFonts w:hint="eastAsia" w:ascii="仿宋_GB2312"/>
          <w:sz w:val="32"/>
          <w:szCs w:val="32"/>
        </w:rPr>
        <w:t>（2）质量指标。</w:t>
      </w:r>
    </w:p>
    <w:p w14:paraId="0849F43C">
      <w:pPr>
        <w:spacing w:line="640" w:lineRule="exact"/>
        <w:ind w:firstLine="640" w:firstLineChars="200"/>
        <w:rPr>
          <w:rFonts w:ascii="仿宋_GB2312"/>
          <w:sz w:val="32"/>
          <w:szCs w:val="32"/>
        </w:rPr>
      </w:pPr>
      <w:r>
        <w:rPr>
          <w:rFonts w:hint="eastAsia" w:ascii="仿宋_GB2312"/>
          <w:sz w:val="32"/>
          <w:szCs w:val="32"/>
        </w:rPr>
        <w:t>福彩公益金使用合规率达到100%；补贴资金发放准确率100%。</w:t>
      </w:r>
    </w:p>
    <w:p w14:paraId="48F8745D">
      <w:pPr>
        <w:spacing w:line="640" w:lineRule="exact"/>
        <w:ind w:firstLine="640" w:firstLineChars="200"/>
        <w:rPr>
          <w:rFonts w:ascii="仿宋_GB2312"/>
          <w:sz w:val="32"/>
          <w:szCs w:val="32"/>
        </w:rPr>
      </w:pPr>
      <w:r>
        <w:rPr>
          <w:rFonts w:hint="eastAsia" w:ascii="仿宋_GB2312"/>
          <w:sz w:val="32"/>
          <w:szCs w:val="32"/>
        </w:rPr>
        <w:t>（3）时效指标。</w:t>
      </w:r>
    </w:p>
    <w:p w14:paraId="480B4A83">
      <w:pPr>
        <w:spacing w:line="640" w:lineRule="exact"/>
        <w:ind w:firstLine="640" w:firstLineChars="200"/>
        <w:rPr>
          <w:rFonts w:ascii="仿宋_GB2312"/>
          <w:sz w:val="32"/>
          <w:szCs w:val="32"/>
        </w:rPr>
      </w:pPr>
      <w:r>
        <w:rPr>
          <w:rFonts w:hint="eastAsia" w:ascii="仿宋_GB2312"/>
          <w:sz w:val="32"/>
          <w:szCs w:val="32"/>
        </w:rPr>
        <w:t>经费下拨时间达标率达到100%。</w:t>
      </w:r>
    </w:p>
    <w:p w14:paraId="62983DA4">
      <w:pPr>
        <w:spacing w:line="640" w:lineRule="exact"/>
        <w:ind w:firstLine="640" w:firstLineChars="200"/>
        <w:rPr>
          <w:rFonts w:ascii="仿宋_GB2312"/>
          <w:sz w:val="32"/>
          <w:szCs w:val="32"/>
        </w:rPr>
      </w:pPr>
      <w:r>
        <w:rPr>
          <w:rFonts w:hint="eastAsia" w:ascii="仿宋_GB2312"/>
          <w:sz w:val="32"/>
          <w:szCs w:val="32"/>
        </w:rPr>
        <w:t>2.效益指标完成情况分析。</w:t>
      </w:r>
    </w:p>
    <w:p w14:paraId="6AEE1959">
      <w:pPr>
        <w:spacing w:line="640" w:lineRule="exact"/>
        <w:ind w:firstLine="640" w:firstLineChars="200"/>
        <w:rPr>
          <w:rFonts w:ascii="仿宋_GB2312"/>
          <w:sz w:val="32"/>
          <w:szCs w:val="32"/>
        </w:rPr>
      </w:pPr>
      <w:r>
        <w:rPr>
          <w:rFonts w:hint="eastAsia" w:ascii="仿宋_GB2312"/>
          <w:sz w:val="32"/>
          <w:szCs w:val="32"/>
        </w:rPr>
        <w:t>（1）社会效益。</w:t>
      </w:r>
    </w:p>
    <w:p w14:paraId="2C4B977A">
      <w:pPr>
        <w:spacing w:line="640" w:lineRule="exact"/>
        <w:ind w:firstLine="640" w:firstLineChars="200"/>
        <w:rPr>
          <w:rFonts w:ascii="仿宋_GB2312"/>
          <w:sz w:val="32"/>
          <w:szCs w:val="32"/>
        </w:rPr>
      </w:pPr>
      <w:r>
        <w:rPr>
          <w:rFonts w:hint="eastAsia" w:ascii="仿宋_GB2312"/>
          <w:sz w:val="32"/>
          <w:szCs w:val="32"/>
        </w:rPr>
        <w:t>带动儿童福利事业发展显著提升；带动养老服务业发展效果显著；带动社会工作服务体系发展效果显著。</w:t>
      </w:r>
    </w:p>
    <w:p w14:paraId="5EA5CA33">
      <w:pPr>
        <w:spacing w:line="640" w:lineRule="exact"/>
        <w:ind w:firstLine="640" w:firstLineChars="200"/>
        <w:rPr>
          <w:rFonts w:ascii="仿宋_GB2312"/>
          <w:sz w:val="32"/>
          <w:szCs w:val="32"/>
        </w:rPr>
      </w:pPr>
      <w:r>
        <w:rPr>
          <w:rFonts w:hint="eastAsia" w:ascii="仿宋_GB2312"/>
          <w:sz w:val="32"/>
          <w:szCs w:val="32"/>
        </w:rPr>
        <w:t>3.满意度指标完成情况分析。</w:t>
      </w:r>
    </w:p>
    <w:p w14:paraId="3E76DC10">
      <w:pPr>
        <w:spacing w:line="640" w:lineRule="exact"/>
        <w:ind w:firstLine="640" w:firstLineChars="200"/>
        <w:rPr>
          <w:rFonts w:ascii="仿宋_GB2312"/>
          <w:sz w:val="32"/>
          <w:szCs w:val="32"/>
        </w:rPr>
      </w:pPr>
      <w:r>
        <w:rPr>
          <w:rFonts w:hint="eastAsia" w:ascii="仿宋_GB2312"/>
          <w:sz w:val="32"/>
          <w:szCs w:val="32"/>
        </w:rPr>
        <w:t>养老机构入住老人满意度达到90%以上；受助儿童满意度达到90%以上；社区服务群众满意度达到90%以上。</w:t>
      </w:r>
    </w:p>
    <w:p w14:paraId="098E009B">
      <w:pPr>
        <w:spacing w:line="640" w:lineRule="exact"/>
        <w:ind w:firstLine="640" w:firstLineChars="200"/>
        <w:rPr>
          <w:rFonts w:ascii="黑体" w:hAnsi="黑体" w:eastAsia="黑体"/>
          <w:sz w:val="32"/>
          <w:szCs w:val="32"/>
        </w:rPr>
      </w:pPr>
      <w:r>
        <w:rPr>
          <w:rFonts w:hint="eastAsia" w:ascii="黑体" w:hAnsi="黑体" w:eastAsia="黑体"/>
          <w:sz w:val="32"/>
          <w:szCs w:val="32"/>
        </w:rPr>
        <w:t>三、偏离绩效目标的原因和下一步改进措施</w:t>
      </w:r>
    </w:p>
    <w:p w14:paraId="51ABEB7D">
      <w:pPr>
        <w:spacing w:line="640" w:lineRule="exact"/>
        <w:ind w:firstLine="640" w:firstLineChars="200"/>
        <w:rPr>
          <w:rFonts w:ascii="仿宋_GB2312"/>
          <w:sz w:val="32"/>
          <w:szCs w:val="32"/>
        </w:rPr>
      </w:pPr>
      <w:r>
        <w:rPr>
          <w:rFonts w:hint="eastAsia" w:ascii="仿宋_GB2312"/>
          <w:sz w:val="32"/>
          <w:szCs w:val="32"/>
        </w:rPr>
        <w:t>2023年福彩公益金总体绩效目标和绩效指标基本完成，但是部分资金尚有结余。</w:t>
      </w:r>
    </w:p>
    <w:p w14:paraId="06DA0A26">
      <w:pPr>
        <w:spacing w:line="640" w:lineRule="exact"/>
        <w:ind w:firstLine="640" w:firstLineChars="200"/>
        <w:rPr>
          <w:rFonts w:ascii="仿宋_GB2312"/>
          <w:sz w:val="32"/>
          <w:szCs w:val="32"/>
        </w:rPr>
      </w:pPr>
      <w:r>
        <w:rPr>
          <w:rFonts w:hint="eastAsia" w:ascii="仿宋_GB2312"/>
          <w:sz w:val="32"/>
          <w:szCs w:val="32"/>
        </w:rPr>
        <w:t>主要原因：一是孤儿和事实无人抚养儿童助学资金结余1.04万元，主要原因是</w:t>
      </w:r>
      <w:bookmarkStart w:id="0" w:name="_GoBack"/>
      <w:bookmarkEnd w:id="0"/>
      <w:r>
        <w:rPr>
          <w:rFonts w:hint="eastAsia" w:ascii="仿宋_GB2312"/>
          <w:sz w:val="32"/>
          <w:szCs w:val="32"/>
        </w:rPr>
        <w:t>孤儿大学生动态管理，今年毕业人数大于新入学人数，所以造成资金结余；二是孤儿医疗康复资金结余0.17万元，主要原因是本年只有1名孤儿产生了住院医疗费用0.13万元，所以造成资金结余；三是精神障碍社区康复服务站点建设资金结余34.26万元，主要原因是该项目采取购买服务的方式，服务人数固定，待服务人数完成后再支付剩余资金。</w:t>
      </w:r>
    </w:p>
    <w:p w14:paraId="734CC262">
      <w:pPr>
        <w:spacing w:line="640" w:lineRule="exact"/>
        <w:ind w:firstLine="640" w:firstLineChars="200"/>
        <w:rPr>
          <w:rFonts w:ascii="仿宋_GB2312"/>
          <w:sz w:val="32"/>
          <w:szCs w:val="32"/>
        </w:rPr>
      </w:pPr>
      <w:r>
        <w:rPr>
          <w:rFonts w:hint="eastAsia" w:ascii="仿宋_GB2312"/>
          <w:sz w:val="32"/>
          <w:szCs w:val="32"/>
        </w:rPr>
        <w:t>下一步改进措施：结余资金结转到来年使用，加快预算执行进度。</w:t>
      </w:r>
    </w:p>
    <w:p w14:paraId="06FFF6DB">
      <w:pPr>
        <w:spacing w:line="640" w:lineRule="exact"/>
        <w:ind w:firstLine="640" w:firstLineChars="200"/>
        <w:rPr>
          <w:rFonts w:ascii="黑体" w:hAnsi="黑体" w:eastAsia="黑体"/>
          <w:sz w:val="32"/>
          <w:szCs w:val="32"/>
        </w:rPr>
      </w:pPr>
      <w:r>
        <w:rPr>
          <w:rFonts w:hint="eastAsia" w:ascii="黑体" w:hAnsi="黑体" w:eastAsia="黑体"/>
          <w:sz w:val="32"/>
          <w:szCs w:val="32"/>
        </w:rPr>
        <w:t>四、绩效自评结果拟应用和公开情况</w:t>
      </w:r>
    </w:p>
    <w:p w14:paraId="535E59A4">
      <w:pPr>
        <w:spacing w:line="640" w:lineRule="exact"/>
        <w:ind w:firstLine="640" w:firstLineChars="200"/>
        <w:rPr>
          <w:rFonts w:ascii="仿宋_GB2312"/>
          <w:sz w:val="32"/>
          <w:szCs w:val="32"/>
        </w:rPr>
      </w:pPr>
      <w:r>
        <w:rPr>
          <w:rFonts w:hint="eastAsia" w:ascii="仿宋_GB2312"/>
          <w:sz w:val="32"/>
          <w:szCs w:val="32"/>
        </w:rPr>
        <w:t>我局高度重视绩效评价结果，分析存在的问题，拟定改进措施,好的经验和做法将用于下一步工作推广。同时，我们将着力提升绩效意识和财政资金使用绩效，并将绩效评价结果向社会公开，广泛接受群众监督。</w:t>
      </w:r>
    </w:p>
    <w:p w14:paraId="1D3394D6">
      <w:pPr>
        <w:spacing w:line="640" w:lineRule="exact"/>
        <w:ind w:firstLine="640" w:firstLineChars="200"/>
        <w:rPr>
          <w:rFonts w:ascii="黑体" w:hAnsi="黑体" w:eastAsia="黑体"/>
          <w:sz w:val="32"/>
          <w:szCs w:val="32"/>
        </w:rPr>
      </w:pPr>
      <w:r>
        <w:rPr>
          <w:rFonts w:hint="eastAsia" w:ascii="黑体" w:hAnsi="黑体" w:eastAsia="黑体"/>
          <w:sz w:val="32"/>
          <w:szCs w:val="32"/>
        </w:rPr>
        <w:t>五、其他需要说明的问题</w:t>
      </w:r>
    </w:p>
    <w:p w14:paraId="0B8A7C9E">
      <w:pPr>
        <w:spacing w:line="640" w:lineRule="exact"/>
        <w:ind w:firstLine="640" w:firstLineChars="200"/>
        <w:rPr>
          <w:rFonts w:ascii="仿宋_GB2312"/>
          <w:sz w:val="32"/>
          <w:szCs w:val="32"/>
        </w:rPr>
      </w:pPr>
      <w:r>
        <w:rPr>
          <w:rFonts w:hint="eastAsia" w:ascii="仿宋_GB2312"/>
          <w:sz w:val="32"/>
          <w:szCs w:val="32"/>
        </w:rPr>
        <w:t>无其他需要说明的问题。</w:t>
      </w:r>
    </w:p>
    <w:p w14:paraId="56B5ED7F">
      <w:pPr>
        <w:spacing w:line="640" w:lineRule="exact"/>
        <w:ind w:firstLine="640" w:firstLineChars="200"/>
        <w:rPr>
          <w:rFonts w:ascii="仿宋_GB2312"/>
          <w:sz w:val="32"/>
          <w:szCs w:val="32"/>
        </w:rPr>
      </w:pPr>
    </w:p>
    <w:p w14:paraId="2C8DAEC2">
      <w:pPr>
        <w:spacing w:line="640" w:lineRule="exact"/>
        <w:ind w:firstLine="640" w:firstLineChars="200"/>
        <w:rPr>
          <w:rFonts w:ascii="仿宋_GB2312"/>
          <w:sz w:val="32"/>
          <w:szCs w:val="32"/>
        </w:rPr>
      </w:pPr>
      <w:r>
        <w:rPr>
          <w:rFonts w:hint="eastAsia" w:ascii="仿宋_GB2312"/>
          <w:sz w:val="32"/>
          <w:szCs w:val="32"/>
        </w:rPr>
        <w:t>附：转移支付区域（项目）绩效目标自评表</w:t>
      </w:r>
    </w:p>
    <w:p w14:paraId="58833FC9">
      <w:pPr>
        <w:spacing w:line="640" w:lineRule="exact"/>
        <w:rPr>
          <w:rFonts w:ascii="仿宋_GB2312"/>
          <w:sz w:val="32"/>
          <w:szCs w:val="32"/>
        </w:rPr>
      </w:pPr>
    </w:p>
    <w:p w14:paraId="3F4E184A">
      <w:pPr>
        <w:spacing w:line="640" w:lineRule="exact"/>
        <w:ind w:firstLine="5600" w:firstLineChars="1750"/>
        <w:rPr>
          <w:rFonts w:ascii="仿宋_GB2312"/>
          <w:sz w:val="32"/>
          <w:szCs w:val="32"/>
        </w:rPr>
      </w:pPr>
    </w:p>
    <w:p w14:paraId="0AC2CC5A">
      <w:pPr>
        <w:spacing w:line="640" w:lineRule="exact"/>
        <w:ind w:firstLine="5600" w:firstLineChars="1750"/>
        <w:rPr>
          <w:rFonts w:ascii="仿宋_GB2312"/>
          <w:sz w:val="32"/>
          <w:szCs w:val="32"/>
        </w:rPr>
      </w:pPr>
      <w:r>
        <w:rPr>
          <w:rFonts w:hint="eastAsia" w:ascii="仿宋_GB2312"/>
          <w:sz w:val="32"/>
          <w:szCs w:val="32"/>
        </w:rPr>
        <w:t>犍为县民政局</w:t>
      </w:r>
    </w:p>
    <w:p w14:paraId="1A7E2601">
      <w:pPr>
        <w:spacing w:line="640" w:lineRule="exact"/>
        <w:ind w:firstLine="5280" w:firstLineChars="1650"/>
        <w:rPr>
          <w:rFonts w:ascii="仿宋_GB2312"/>
          <w:sz w:val="32"/>
          <w:szCs w:val="32"/>
        </w:rPr>
      </w:pPr>
      <w:r>
        <w:rPr>
          <w:rFonts w:hint="eastAsia" w:ascii="仿宋_GB2312"/>
          <w:sz w:val="32"/>
          <w:szCs w:val="32"/>
        </w:rPr>
        <w:t>2024年6月17日</w:t>
      </w:r>
    </w:p>
    <w:p w14:paraId="352EE120">
      <w:pPr>
        <w:spacing w:line="560" w:lineRule="exact"/>
        <w:rPr>
          <w:rFonts w:ascii="仿宋_GB2312"/>
          <w:sz w:val="32"/>
          <w:szCs w:val="32"/>
        </w:rPr>
      </w:pPr>
    </w:p>
    <w:sectPr>
      <w:footerReference r:id="rId3" w:type="default"/>
      <w:pgSz w:w="11906" w:h="16838"/>
      <w:pgMar w:top="2041" w:right="1469" w:bottom="1588" w:left="1469" w:header="851" w:footer="992"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08548"/>
    </w:sdtPr>
    <w:sdtContent>
      <w:p w14:paraId="41B329D8">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14:paraId="63E707C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3E4BA"/>
    <w:multiLevelType w:val="singleLevel"/>
    <w:tmpl w:val="C853E4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zNGRkNThjYTZkYWI3N2QzZTUxZDlhNDMwZTIzN2IifQ=="/>
  </w:docVars>
  <w:rsids>
    <w:rsidRoot w:val="00F57F82"/>
    <w:rsid w:val="000101E1"/>
    <w:rsid w:val="00045DE3"/>
    <w:rsid w:val="000732DA"/>
    <w:rsid w:val="00075CDC"/>
    <w:rsid w:val="000B1E8F"/>
    <w:rsid w:val="000B6964"/>
    <w:rsid w:val="00103D16"/>
    <w:rsid w:val="00111638"/>
    <w:rsid w:val="00111928"/>
    <w:rsid w:val="0012041C"/>
    <w:rsid w:val="001266B9"/>
    <w:rsid w:val="00153B98"/>
    <w:rsid w:val="00164D84"/>
    <w:rsid w:val="00173016"/>
    <w:rsid w:val="0017509C"/>
    <w:rsid w:val="001808CA"/>
    <w:rsid w:val="0018690F"/>
    <w:rsid w:val="001A4E46"/>
    <w:rsid w:val="001E03FE"/>
    <w:rsid w:val="001E0A67"/>
    <w:rsid w:val="001E3671"/>
    <w:rsid w:val="002123E8"/>
    <w:rsid w:val="0021369D"/>
    <w:rsid w:val="00250053"/>
    <w:rsid w:val="0027324D"/>
    <w:rsid w:val="0029569C"/>
    <w:rsid w:val="002A5FA7"/>
    <w:rsid w:val="002B3EEF"/>
    <w:rsid w:val="002B54E4"/>
    <w:rsid w:val="002E5562"/>
    <w:rsid w:val="002F1AD1"/>
    <w:rsid w:val="002F6705"/>
    <w:rsid w:val="00301FC0"/>
    <w:rsid w:val="0032103E"/>
    <w:rsid w:val="0033315E"/>
    <w:rsid w:val="00336A16"/>
    <w:rsid w:val="003663A3"/>
    <w:rsid w:val="00387DD5"/>
    <w:rsid w:val="003B0980"/>
    <w:rsid w:val="003C1297"/>
    <w:rsid w:val="003C6374"/>
    <w:rsid w:val="003D2CB9"/>
    <w:rsid w:val="003E2A49"/>
    <w:rsid w:val="00405A4D"/>
    <w:rsid w:val="00413F12"/>
    <w:rsid w:val="00426905"/>
    <w:rsid w:val="00493012"/>
    <w:rsid w:val="004D2137"/>
    <w:rsid w:val="00592B9E"/>
    <w:rsid w:val="005B78A6"/>
    <w:rsid w:val="005D1514"/>
    <w:rsid w:val="005D7CC3"/>
    <w:rsid w:val="005E7A49"/>
    <w:rsid w:val="006218A1"/>
    <w:rsid w:val="00682A10"/>
    <w:rsid w:val="00682D97"/>
    <w:rsid w:val="006A30E4"/>
    <w:rsid w:val="006A74BF"/>
    <w:rsid w:val="006C1CEE"/>
    <w:rsid w:val="006D5A86"/>
    <w:rsid w:val="006F5A04"/>
    <w:rsid w:val="00707C2E"/>
    <w:rsid w:val="00722A7D"/>
    <w:rsid w:val="00724A6B"/>
    <w:rsid w:val="0073331B"/>
    <w:rsid w:val="00733C2D"/>
    <w:rsid w:val="00756C7F"/>
    <w:rsid w:val="00780ABC"/>
    <w:rsid w:val="00780F07"/>
    <w:rsid w:val="007A0E72"/>
    <w:rsid w:val="007B2A11"/>
    <w:rsid w:val="007D5DBB"/>
    <w:rsid w:val="007D7E6E"/>
    <w:rsid w:val="00850797"/>
    <w:rsid w:val="00853FC4"/>
    <w:rsid w:val="00857D49"/>
    <w:rsid w:val="008720F1"/>
    <w:rsid w:val="008773D8"/>
    <w:rsid w:val="00882EFA"/>
    <w:rsid w:val="008B2F56"/>
    <w:rsid w:val="008D17BB"/>
    <w:rsid w:val="008F0996"/>
    <w:rsid w:val="008F7A78"/>
    <w:rsid w:val="00903791"/>
    <w:rsid w:val="00907BEB"/>
    <w:rsid w:val="009600BD"/>
    <w:rsid w:val="00961C83"/>
    <w:rsid w:val="009922BC"/>
    <w:rsid w:val="009A4E6B"/>
    <w:rsid w:val="009E0D8C"/>
    <w:rsid w:val="009F79B3"/>
    <w:rsid w:val="00A02AF3"/>
    <w:rsid w:val="00A25077"/>
    <w:rsid w:val="00A40922"/>
    <w:rsid w:val="00A610CC"/>
    <w:rsid w:val="00A615D4"/>
    <w:rsid w:val="00A8737E"/>
    <w:rsid w:val="00AA19AF"/>
    <w:rsid w:val="00AA2B81"/>
    <w:rsid w:val="00AA52A8"/>
    <w:rsid w:val="00B83727"/>
    <w:rsid w:val="00BC6882"/>
    <w:rsid w:val="00BD3FE0"/>
    <w:rsid w:val="00BE58CF"/>
    <w:rsid w:val="00C06CDD"/>
    <w:rsid w:val="00C74998"/>
    <w:rsid w:val="00C82779"/>
    <w:rsid w:val="00CA5578"/>
    <w:rsid w:val="00CA7DAA"/>
    <w:rsid w:val="00CE7FAE"/>
    <w:rsid w:val="00CF1D77"/>
    <w:rsid w:val="00D04826"/>
    <w:rsid w:val="00D5453C"/>
    <w:rsid w:val="00D63908"/>
    <w:rsid w:val="00D8718A"/>
    <w:rsid w:val="00D93453"/>
    <w:rsid w:val="00DA7567"/>
    <w:rsid w:val="00DC524D"/>
    <w:rsid w:val="00DD1CAB"/>
    <w:rsid w:val="00E071D6"/>
    <w:rsid w:val="00E43280"/>
    <w:rsid w:val="00E9180A"/>
    <w:rsid w:val="00EB0AEE"/>
    <w:rsid w:val="00ED3E0F"/>
    <w:rsid w:val="00EF5AB1"/>
    <w:rsid w:val="00F015E4"/>
    <w:rsid w:val="00F31BAC"/>
    <w:rsid w:val="00F57F82"/>
    <w:rsid w:val="00F75224"/>
    <w:rsid w:val="00F91EAE"/>
    <w:rsid w:val="00FA086C"/>
    <w:rsid w:val="00FA2093"/>
    <w:rsid w:val="00FA357A"/>
    <w:rsid w:val="037D0BC8"/>
    <w:rsid w:val="0506144F"/>
    <w:rsid w:val="0845082D"/>
    <w:rsid w:val="09E409A9"/>
    <w:rsid w:val="09E965F2"/>
    <w:rsid w:val="0EAD39EF"/>
    <w:rsid w:val="10CB613B"/>
    <w:rsid w:val="139840D3"/>
    <w:rsid w:val="143E091F"/>
    <w:rsid w:val="14865FC8"/>
    <w:rsid w:val="150C2DB0"/>
    <w:rsid w:val="1E761F05"/>
    <w:rsid w:val="1FC7205C"/>
    <w:rsid w:val="228B3D05"/>
    <w:rsid w:val="24700310"/>
    <w:rsid w:val="284E74F8"/>
    <w:rsid w:val="296F649B"/>
    <w:rsid w:val="2A767A19"/>
    <w:rsid w:val="2AB25FCC"/>
    <w:rsid w:val="2ADB48E8"/>
    <w:rsid w:val="31153007"/>
    <w:rsid w:val="337D734C"/>
    <w:rsid w:val="36687282"/>
    <w:rsid w:val="38EF7AD8"/>
    <w:rsid w:val="3E1672E6"/>
    <w:rsid w:val="415F08D8"/>
    <w:rsid w:val="44E2230F"/>
    <w:rsid w:val="47844EE6"/>
    <w:rsid w:val="48B51347"/>
    <w:rsid w:val="491B45FA"/>
    <w:rsid w:val="4A55216A"/>
    <w:rsid w:val="4C13532D"/>
    <w:rsid w:val="4DD6519B"/>
    <w:rsid w:val="4FE0696A"/>
    <w:rsid w:val="53CC2506"/>
    <w:rsid w:val="55673508"/>
    <w:rsid w:val="59595A6F"/>
    <w:rsid w:val="599330CA"/>
    <w:rsid w:val="60D5009F"/>
    <w:rsid w:val="64AC2E11"/>
    <w:rsid w:val="660721C9"/>
    <w:rsid w:val="661E6C75"/>
    <w:rsid w:val="67F75FF5"/>
    <w:rsid w:val="681D4831"/>
    <w:rsid w:val="692E4B19"/>
    <w:rsid w:val="69513EF7"/>
    <w:rsid w:val="69A1719E"/>
    <w:rsid w:val="6A561993"/>
    <w:rsid w:val="6AB875EC"/>
    <w:rsid w:val="6B7D65F4"/>
    <w:rsid w:val="6BF3256F"/>
    <w:rsid w:val="6CE7018A"/>
    <w:rsid w:val="6E3E3F2D"/>
    <w:rsid w:val="70C0427B"/>
    <w:rsid w:val="715B2F02"/>
    <w:rsid w:val="76A548F2"/>
    <w:rsid w:val="7765772E"/>
    <w:rsid w:val="77867685"/>
    <w:rsid w:val="781F36B6"/>
    <w:rsid w:val="790627AD"/>
    <w:rsid w:val="7ADC59FA"/>
    <w:rsid w:val="7DDD794F"/>
    <w:rsid w:val="7EFE1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Balloon Text"/>
    <w:basedOn w:val="1"/>
    <w:link w:val="1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页脚 Char"/>
    <w:basedOn w:val="8"/>
    <w:link w:val="4"/>
    <w:qFormat/>
    <w:uiPriority w:val="99"/>
    <w:rPr>
      <w:rFonts w:eastAsia="仿宋_GB2312"/>
      <w:kern w:val="2"/>
      <w:sz w:val="18"/>
      <w:szCs w:val="18"/>
    </w:rPr>
  </w:style>
  <w:style w:type="character" w:customStyle="1" w:styleId="10">
    <w:name w:val="页眉 Char"/>
    <w:basedOn w:val="8"/>
    <w:link w:val="5"/>
    <w:qFormat/>
    <w:uiPriority w:val="0"/>
    <w:rPr>
      <w:rFonts w:eastAsia="仿宋_GB2312"/>
      <w:kern w:val="2"/>
      <w:sz w:val="18"/>
      <w:szCs w:val="18"/>
    </w:rPr>
  </w:style>
  <w:style w:type="character" w:customStyle="1" w:styleId="11">
    <w:name w:val="批注框文本 Char"/>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34020-2A77-4F97-B3F8-D0EAAAEA41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2617</Words>
  <Characters>2860</Characters>
  <Lines>20</Lines>
  <Paragraphs>5</Paragraphs>
  <TotalTime>36</TotalTime>
  <ScaleCrop>false</ScaleCrop>
  <LinksUpToDate>false</LinksUpToDate>
  <CharactersWithSpaces>2863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2024-06-19T01:57:00Z</dcterms:created>
  <dc:creator>lhn</dc:creator>
  <cp:lastModifiedBy>罗睿</cp:lastModifiedBy>
  <cp:lastPrinted>2020-04-15T01:32:00Z</cp:lastPrinted>
  <dcterms:modified xsi:type="dcterms:W3CDTF">2024-12-19T03:14:57Z</dcterms:modified>
  <dc:title>财政支出绩效评价报告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8CAD525E752F4DA2A976264BCA77E37F</vt:lpwstr>
  </property>
</Properties>
</file>