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B2FE4" w:rsidRPr="004328B7" w:rsidRDefault="009D1FF4">
      <w:pPr>
        <w:pStyle w:val="a6"/>
        <w:widowControl/>
        <w:shd w:val="clear" w:color="auto" w:fill="FFFFFF"/>
        <w:spacing w:beforeAutospacing="0" w:afterAutospacing="0" w:line="560" w:lineRule="exact"/>
        <w:jc w:val="both"/>
        <w:rPr>
          <w:rFonts w:ascii="仿宋_GB2312" w:eastAsia="仿宋_GB2312" w:hAnsi="黑体" w:cs="黑体"/>
          <w:color w:val="000000" w:themeColor="text1"/>
          <w:sz w:val="32"/>
          <w:szCs w:val="32"/>
          <w:shd w:val="clear" w:color="auto" w:fill="FFFFFF"/>
        </w:rPr>
      </w:pPr>
      <w:r w:rsidRPr="004328B7">
        <w:rPr>
          <w:rFonts w:ascii="仿宋_GB2312" w:eastAsia="仿宋_GB2312" w:hAnsi="黑体" w:cs="黑体" w:hint="eastAsia"/>
          <w:color w:val="000000" w:themeColor="text1"/>
          <w:sz w:val="32"/>
          <w:szCs w:val="32"/>
          <w:shd w:val="clear" w:color="auto" w:fill="FFFFFF"/>
        </w:rPr>
        <w:t>附件</w:t>
      </w:r>
    </w:p>
    <w:p w:rsidR="00FB2FE4" w:rsidRPr="004328B7" w:rsidRDefault="00FB2FE4">
      <w:pPr>
        <w:pStyle w:val="a6"/>
        <w:widowControl/>
        <w:shd w:val="clear" w:color="auto" w:fill="FFFFFF"/>
        <w:spacing w:beforeAutospacing="0" w:afterAutospacing="0" w:line="560" w:lineRule="exact"/>
        <w:jc w:val="both"/>
        <w:rPr>
          <w:rFonts w:ascii="仿宋_GB2312" w:eastAsia="仿宋_GB2312" w:hAnsi="黑体" w:cs="黑体"/>
          <w:color w:val="000000" w:themeColor="text1"/>
          <w:sz w:val="32"/>
          <w:szCs w:val="32"/>
          <w:shd w:val="clear" w:color="auto" w:fill="FFFFFF"/>
        </w:rPr>
      </w:pPr>
    </w:p>
    <w:p w:rsidR="00FB2FE4" w:rsidRPr="004328B7" w:rsidRDefault="009D1FF4" w:rsidP="004328B7">
      <w:pPr>
        <w:pStyle w:val="a6"/>
        <w:widowControl/>
        <w:shd w:val="clear" w:color="auto" w:fill="FFFFFF"/>
        <w:spacing w:beforeAutospacing="0" w:afterAutospacing="0" w:line="560" w:lineRule="exact"/>
        <w:jc w:val="center"/>
        <w:rPr>
          <w:rFonts w:ascii="仿宋_GB2312" w:eastAsia="仿宋_GB2312" w:hAnsi="方正小标宋简体" w:cs="方正小标宋简体"/>
          <w:color w:val="000000" w:themeColor="text1"/>
          <w:sz w:val="32"/>
          <w:szCs w:val="32"/>
          <w:shd w:val="clear" w:color="auto" w:fill="FFFFFF"/>
        </w:rPr>
      </w:pPr>
      <w:r w:rsidRPr="004328B7">
        <w:rPr>
          <w:rFonts w:ascii="仿宋_GB2312" w:eastAsia="仿宋_GB2312" w:hAnsi="方正小标宋简体" w:cs="方正小标宋简体" w:hint="eastAsia"/>
          <w:color w:val="000000" w:themeColor="text1"/>
          <w:sz w:val="32"/>
          <w:szCs w:val="32"/>
          <w:shd w:val="clear" w:color="auto" w:fill="FFFFFF"/>
        </w:rPr>
        <w:t>《万华禾香生态科技股份有限公司绿色建材（乐山）高端智能制造一体化项目</w:t>
      </w:r>
      <w:bookmarkStart w:id="0" w:name="_GoBack"/>
      <w:bookmarkEnd w:id="0"/>
      <w:r w:rsidRPr="004328B7">
        <w:rPr>
          <w:rFonts w:ascii="仿宋_GB2312" w:eastAsia="仿宋_GB2312" w:hAnsi="方正小标宋简体" w:cs="方正小标宋简体" w:hint="eastAsia"/>
          <w:color w:val="000000" w:themeColor="text1"/>
          <w:sz w:val="32"/>
          <w:szCs w:val="32"/>
          <w:shd w:val="clear" w:color="auto" w:fill="FFFFFF"/>
        </w:rPr>
        <w:t>规划选址论证报告》概要</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黑体" w:cs="黑体"/>
          <w:color w:val="000000" w:themeColor="text1"/>
          <w:sz w:val="32"/>
          <w:szCs w:val="32"/>
          <w:shd w:val="clear" w:color="auto" w:fill="FFFFFF"/>
        </w:rPr>
      </w:pPr>
      <w:r w:rsidRPr="004328B7">
        <w:rPr>
          <w:rFonts w:ascii="仿宋_GB2312" w:eastAsia="仿宋_GB2312" w:hAnsi="黑体" w:cs="黑体" w:hint="eastAsia"/>
          <w:color w:val="000000" w:themeColor="text1"/>
          <w:sz w:val="32"/>
          <w:szCs w:val="32"/>
          <w:shd w:val="clear" w:color="auto" w:fill="FFFFFF"/>
        </w:rPr>
        <w:t>一、项目概况</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000000" w:themeColor="text1"/>
          <w:sz w:val="32"/>
          <w:szCs w:val="32"/>
          <w:shd w:val="clear" w:color="auto" w:fill="FFFFFF"/>
        </w:rPr>
      </w:pPr>
      <w:r w:rsidRPr="004328B7">
        <w:rPr>
          <w:rFonts w:ascii="仿宋_GB2312" w:eastAsia="仿宋_GB2312" w:hAnsi="仿宋_GB2312" w:cs="仿宋_GB2312" w:hint="eastAsia"/>
          <w:color w:val="000000" w:themeColor="text1"/>
          <w:sz w:val="32"/>
          <w:szCs w:val="32"/>
          <w:shd w:val="clear" w:color="auto" w:fill="FFFFFF"/>
        </w:rPr>
        <w:t>项目建设地点位于四川省乐山市犍为县,用地总规模为43.4099公顷。</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000000" w:themeColor="text1"/>
          <w:sz w:val="32"/>
          <w:szCs w:val="32"/>
          <w:shd w:val="clear" w:color="auto" w:fill="FFFFFF"/>
        </w:rPr>
      </w:pPr>
      <w:r w:rsidRPr="004328B7">
        <w:rPr>
          <w:rFonts w:ascii="仿宋_GB2312" w:eastAsia="仿宋_GB2312" w:hAnsi="仿宋_GB2312" w:cs="仿宋_GB2312" w:hint="eastAsia"/>
          <w:color w:val="000000" w:themeColor="text1"/>
          <w:sz w:val="32"/>
          <w:szCs w:val="32"/>
          <w:shd w:val="clear" w:color="auto" w:fill="FFFFFF"/>
        </w:rPr>
        <w:t>项目业主为乐山万</w:t>
      </w:r>
      <w:proofErr w:type="gramStart"/>
      <w:r w:rsidRPr="004328B7">
        <w:rPr>
          <w:rFonts w:ascii="仿宋_GB2312" w:eastAsia="仿宋_GB2312" w:hAnsi="仿宋_GB2312" w:cs="仿宋_GB2312" w:hint="eastAsia"/>
          <w:color w:val="000000" w:themeColor="text1"/>
          <w:sz w:val="32"/>
          <w:szCs w:val="32"/>
          <w:shd w:val="clear" w:color="auto" w:fill="FFFFFF"/>
        </w:rPr>
        <w:t>华禾香板业</w:t>
      </w:r>
      <w:proofErr w:type="gramEnd"/>
      <w:r w:rsidRPr="004328B7">
        <w:rPr>
          <w:rFonts w:ascii="仿宋_GB2312" w:eastAsia="仿宋_GB2312" w:hAnsi="仿宋_GB2312" w:cs="仿宋_GB2312" w:hint="eastAsia"/>
          <w:color w:val="000000" w:themeColor="text1"/>
          <w:sz w:val="32"/>
          <w:szCs w:val="32"/>
          <w:shd w:val="clear" w:color="auto" w:fill="FFFFFF"/>
        </w:rPr>
        <w:t>有限公司和乐山万华新家装有限公司，总投资约为20.76亿元，其中乐山万</w:t>
      </w:r>
      <w:proofErr w:type="gramStart"/>
      <w:r w:rsidRPr="004328B7">
        <w:rPr>
          <w:rFonts w:ascii="仿宋_GB2312" w:eastAsia="仿宋_GB2312" w:hAnsi="仿宋_GB2312" w:cs="仿宋_GB2312" w:hint="eastAsia"/>
          <w:color w:val="000000" w:themeColor="text1"/>
          <w:sz w:val="32"/>
          <w:szCs w:val="32"/>
          <w:shd w:val="clear" w:color="auto" w:fill="FFFFFF"/>
        </w:rPr>
        <w:t>华禾香板业</w:t>
      </w:r>
      <w:proofErr w:type="gramEnd"/>
      <w:r w:rsidRPr="004328B7">
        <w:rPr>
          <w:rFonts w:ascii="仿宋_GB2312" w:eastAsia="仿宋_GB2312" w:hAnsi="仿宋_GB2312" w:cs="仿宋_GB2312" w:hint="eastAsia"/>
          <w:color w:val="000000" w:themeColor="text1"/>
          <w:sz w:val="32"/>
          <w:szCs w:val="32"/>
          <w:shd w:val="clear" w:color="auto" w:fill="FFFFFF"/>
        </w:rPr>
        <w:t>有限公司投资9.76亿元、乐山万华新家装有限公司投资11.00亿元。</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000000" w:themeColor="text1"/>
          <w:sz w:val="32"/>
          <w:szCs w:val="32"/>
          <w:shd w:val="clear" w:color="auto" w:fill="FFFFFF"/>
        </w:rPr>
      </w:pPr>
      <w:r w:rsidRPr="004328B7">
        <w:rPr>
          <w:rFonts w:ascii="仿宋_GB2312" w:eastAsia="仿宋_GB2312" w:hAnsi="仿宋_GB2312" w:cs="仿宋_GB2312" w:hint="eastAsia"/>
          <w:color w:val="000000" w:themeColor="text1"/>
          <w:sz w:val="32"/>
          <w:szCs w:val="32"/>
          <w:shd w:val="clear" w:color="auto" w:fill="FFFFFF"/>
        </w:rPr>
        <w:t>乐山万</w:t>
      </w:r>
      <w:proofErr w:type="gramStart"/>
      <w:r w:rsidRPr="004328B7">
        <w:rPr>
          <w:rFonts w:ascii="仿宋_GB2312" w:eastAsia="仿宋_GB2312" w:hAnsi="仿宋_GB2312" w:cs="仿宋_GB2312" w:hint="eastAsia"/>
          <w:color w:val="000000" w:themeColor="text1"/>
          <w:sz w:val="32"/>
          <w:szCs w:val="32"/>
          <w:shd w:val="clear" w:color="auto" w:fill="FFFFFF"/>
        </w:rPr>
        <w:t>华禾香板业</w:t>
      </w:r>
      <w:proofErr w:type="gramEnd"/>
      <w:r w:rsidRPr="004328B7">
        <w:rPr>
          <w:rFonts w:ascii="仿宋_GB2312" w:eastAsia="仿宋_GB2312" w:hAnsi="仿宋_GB2312" w:cs="仿宋_GB2312" w:hint="eastAsia"/>
          <w:color w:val="000000" w:themeColor="text1"/>
          <w:sz w:val="32"/>
          <w:szCs w:val="32"/>
          <w:shd w:val="clear" w:color="auto" w:fill="FFFFFF"/>
        </w:rPr>
        <w:t>有限公司年产40万m</w:t>
      </w:r>
      <w:r w:rsidRPr="004328B7">
        <w:rPr>
          <w:rFonts w:ascii="仿宋_GB2312" w:eastAsia="仿宋_GB2312" w:hAnsi="仿宋_GB2312" w:cs="仿宋_GB2312" w:hint="eastAsia"/>
          <w:color w:val="000000" w:themeColor="text1"/>
          <w:sz w:val="32"/>
          <w:szCs w:val="32"/>
          <w:shd w:val="clear" w:color="auto" w:fill="FFFFFF"/>
          <w:vertAlign w:val="superscript"/>
        </w:rPr>
        <w:t>3</w:t>
      </w:r>
      <w:r w:rsidRPr="004328B7">
        <w:rPr>
          <w:rFonts w:ascii="仿宋_GB2312" w:eastAsia="仿宋_GB2312" w:hAnsi="仿宋_GB2312" w:cs="仿宋_GB2312" w:hint="eastAsia"/>
          <w:color w:val="000000" w:themeColor="text1"/>
          <w:sz w:val="32"/>
          <w:szCs w:val="32"/>
          <w:shd w:val="clear" w:color="auto" w:fill="FFFFFF"/>
        </w:rPr>
        <w:t>秸秆刨花板项目主要建设内容为采用国内外成熟的工艺设备和先进的秸秆刨花板生产技术，建设一条年产40万m</w:t>
      </w:r>
      <w:r w:rsidRPr="004328B7">
        <w:rPr>
          <w:rFonts w:ascii="仿宋_GB2312" w:eastAsia="仿宋_GB2312" w:hAnsi="仿宋_GB2312" w:cs="仿宋_GB2312" w:hint="eastAsia"/>
          <w:color w:val="000000" w:themeColor="text1"/>
          <w:sz w:val="32"/>
          <w:szCs w:val="32"/>
          <w:shd w:val="clear" w:color="auto" w:fill="FFFFFF"/>
          <w:vertAlign w:val="superscript"/>
        </w:rPr>
        <w:t>3</w:t>
      </w:r>
      <w:r w:rsidRPr="004328B7">
        <w:rPr>
          <w:rFonts w:ascii="仿宋_GB2312" w:eastAsia="仿宋_GB2312" w:hAnsi="仿宋_GB2312" w:cs="仿宋_GB2312" w:hint="eastAsia"/>
          <w:color w:val="000000" w:themeColor="text1"/>
          <w:sz w:val="32"/>
          <w:szCs w:val="32"/>
          <w:shd w:val="clear" w:color="auto" w:fill="FFFFFF"/>
        </w:rPr>
        <w:t>的无醛生态板智能化生产线，建设生产规模为40万m</w:t>
      </w:r>
      <w:r w:rsidRPr="004328B7">
        <w:rPr>
          <w:rFonts w:ascii="仿宋_GB2312" w:eastAsia="仿宋_GB2312" w:hAnsi="仿宋_GB2312" w:cs="仿宋_GB2312" w:hint="eastAsia"/>
          <w:color w:val="000000" w:themeColor="text1"/>
          <w:sz w:val="32"/>
          <w:szCs w:val="32"/>
          <w:shd w:val="clear" w:color="auto" w:fill="FFFFFF"/>
          <w:vertAlign w:val="superscript"/>
        </w:rPr>
        <w:t>3</w:t>
      </w:r>
      <w:r w:rsidRPr="004328B7">
        <w:rPr>
          <w:rFonts w:ascii="仿宋_GB2312" w:eastAsia="仿宋_GB2312" w:hAnsi="仿宋_GB2312" w:cs="仿宋_GB2312" w:hint="eastAsia"/>
          <w:color w:val="000000" w:themeColor="text1"/>
          <w:sz w:val="32"/>
          <w:szCs w:val="32"/>
          <w:shd w:val="clear" w:color="auto" w:fill="FFFFFF"/>
        </w:rPr>
        <w:t>/年；乐山万华新家装有限公司年产5万套全屋定制家装产品的智能化生产线项目主要建设内容为新建年产5万套定制化家装产品的智能生产线，包括墙、顶、地、整体卫浴、水、</w:t>
      </w:r>
      <w:proofErr w:type="gramStart"/>
      <w:r w:rsidRPr="004328B7">
        <w:rPr>
          <w:rFonts w:ascii="仿宋_GB2312" w:eastAsia="仿宋_GB2312" w:hAnsi="仿宋_GB2312" w:cs="仿宋_GB2312" w:hint="eastAsia"/>
          <w:color w:val="000000" w:themeColor="text1"/>
          <w:sz w:val="32"/>
          <w:szCs w:val="32"/>
          <w:shd w:val="clear" w:color="auto" w:fill="FFFFFF"/>
        </w:rPr>
        <w:t>电六大定制部</w:t>
      </w:r>
      <w:proofErr w:type="gramEnd"/>
      <w:r w:rsidRPr="004328B7">
        <w:rPr>
          <w:rFonts w:ascii="仿宋_GB2312" w:eastAsia="仿宋_GB2312" w:hAnsi="仿宋_GB2312" w:cs="仿宋_GB2312" w:hint="eastAsia"/>
          <w:color w:val="000000" w:themeColor="text1"/>
          <w:sz w:val="32"/>
          <w:szCs w:val="32"/>
          <w:shd w:val="clear" w:color="auto" w:fill="FFFFFF"/>
        </w:rPr>
        <w:t>品的精益制造和十大</w:t>
      </w:r>
      <w:proofErr w:type="gramStart"/>
      <w:r w:rsidRPr="004328B7">
        <w:rPr>
          <w:rFonts w:ascii="仿宋_GB2312" w:eastAsia="仿宋_GB2312" w:hAnsi="仿宋_GB2312" w:cs="仿宋_GB2312" w:hint="eastAsia"/>
          <w:color w:val="000000" w:themeColor="text1"/>
          <w:sz w:val="32"/>
          <w:szCs w:val="32"/>
          <w:shd w:val="clear" w:color="auto" w:fill="FFFFFF"/>
        </w:rPr>
        <w:t>定制部</w:t>
      </w:r>
      <w:proofErr w:type="gramEnd"/>
      <w:r w:rsidRPr="004328B7">
        <w:rPr>
          <w:rFonts w:ascii="仿宋_GB2312" w:eastAsia="仿宋_GB2312" w:hAnsi="仿宋_GB2312" w:cs="仿宋_GB2312" w:hint="eastAsia"/>
          <w:color w:val="000000" w:themeColor="text1"/>
          <w:sz w:val="32"/>
          <w:szCs w:val="32"/>
          <w:shd w:val="clear" w:color="auto" w:fill="FFFFFF"/>
        </w:rPr>
        <w:t>品的集成配送中心以及配套的辅料生产项目，建设生产规模为5万套/年。</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黑体" w:cs="黑体"/>
          <w:color w:val="000000" w:themeColor="text1"/>
          <w:sz w:val="32"/>
          <w:szCs w:val="32"/>
          <w:shd w:val="clear" w:color="auto" w:fill="FFFFFF"/>
        </w:rPr>
      </w:pPr>
      <w:r w:rsidRPr="004328B7">
        <w:rPr>
          <w:rFonts w:ascii="仿宋_GB2312" w:eastAsia="仿宋_GB2312" w:hAnsi="黑体" w:cs="黑体" w:hint="eastAsia"/>
          <w:color w:val="000000" w:themeColor="text1"/>
          <w:sz w:val="32"/>
          <w:szCs w:val="32"/>
          <w:shd w:val="clear" w:color="auto" w:fill="FFFFFF"/>
        </w:rPr>
        <w:t>二、论证内容及结论</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000000" w:themeColor="text1"/>
          <w:sz w:val="32"/>
          <w:szCs w:val="32"/>
          <w:shd w:val="clear" w:color="auto" w:fill="FFFFFF"/>
        </w:rPr>
      </w:pPr>
      <w:r w:rsidRPr="004328B7">
        <w:rPr>
          <w:rFonts w:ascii="仿宋_GB2312" w:eastAsia="仿宋_GB2312" w:hAnsi="仿宋_GB2312" w:cs="仿宋_GB2312" w:hint="eastAsia"/>
          <w:color w:val="000000" w:themeColor="text1"/>
          <w:sz w:val="32"/>
          <w:szCs w:val="32"/>
          <w:shd w:val="clear" w:color="auto" w:fill="FFFFFF"/>
        </w:rPr>
        <w:t>政策符合性分析方面，项目属于《产业结构调整指导目录（2019年本）》鼓励类项目，符合国家</w:t>
      </w:r>
      <w:proofErr w:type="gramStart"/>
      <w:r w:rsidRPr="004328B7">
        <w:rPr>
          <w:rFonts w:ascii="仿宋_GB2312" w:eastAsia="仿宋_GB2312" w:hAnsi="仿宋_GB2312" w:cs="仿宋_GB2312" w:hint="eastAsia"/>
          <w:color w:val="000000" w:themeColor="text1"/>
          <w:sz w:val="32"/>
          <w:szCs w:val="32"/>
          <w:shd w:val="clear" w:color="auto" w:fill="FFFFFF"/>
        </w:rPr>
        <w:t>现行产业</w:t>
      </w:r>
      <w:proofErr w:type="gramEnd"/>
      <w:r w:rsidRPr="004328B7">
        <w:rPr>
          <w:rFonts w:ascii="仿宋_GB2312" w:eastAsia="仿宋_GB2312" w:hAnsi="仿宋_GB2312" w:cs="仿宋_GB2312" w:hint="eastAsia"/>
          <w:color w:val="000000" w:themeColor="text1"/>
          <w:sz w:val="32"/>
          <w:szCs w:val="32"/>
          <w:shd w:val="clear" w:color="auto" w:fill="FFFFFF"/>
        </w:rPr>
        <w:t>政策；项目不属于国家限制或禁止用地项目，符合国家现行土地供应政策。</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000000" w:themeColor="text1"/>
          <w:sz w:val="32"/>
          <w:szCs w:val="32"/>
          <w:shd w:val="clear" w:color="auto" w:fill="FFFFFF"/>
        </w:rPr>
      </w:pPr>
      <w:r w:rsidRPr="004328B7">
        <w:rPr>
          <w:rFonts w:ascii="仿宋_GB2312" w:eastAsia="仿宋_GB2312" w:hAnsi="仿宋_GB2312" w:cs="仿宋_GB2312" w:hint="eastAsia"/>
          <w:color w:val="000000" w:themeColor="text1"/>
          <w:sz w:val="32"/>
          <w:szCs w:val="32"/>
          <w:shd w:val="clear" w:color="auto" w:fill="FFFFFF"/>
        </w:rPr>
        <w:t>规划影响分析方面，项目选址符合《犍为县新型工业基地总体规划（2020—2035）》阶段稿的规划内容；项目选址符合犍为县国土空</w:t>
      </w:r>
      <w:r w:rsidRPr="004328B7">
        <w:rPr>
          <w:rFonts w:ascii="仿宋_GB2312" w:eastAsia="仿宋_GB2312" w:hAnsi="仿宋_GB2312" w:cs="仿宋_GB2312" w:hint="eastAsia"/>
          <w:color w:val="000000" w:themeColor="text1"/>
          <w:sz w:val="32"/>
          <w:szCs w:val="32"/>
          <w:shd w:val="clear" w:color="auto" w:fill="FFFFFF"/>
        </w:rPr>
        <w:lastRenderedPageBreak/>
        <w:t>间规划“三区三线”第三轮划定最新成果；项目选址不符合原《孝姑镇土地利用总体规划（2006-2020）》和《犍为县孝姑镇总体规划（2018-2035）》，已按《四川省自然资源厅关于做好近期国土空间规划实施管理有关工作的补充通知》（〔2021〕-522）等相关文件要求，编制规划选址论证报告和指标落实方案。</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000000" w:themeColor="text1"/>
          <w:sz w:val="32"/>
          <w:szCs w:val="32"/>
          <w:shd w:val="clear" w:color="auto" w:fill="FFFFFF"/>
        </w:rPr>
      </w:pPr>
      <w:r w:rsidRPr="004328B7">
        <w:rPr>
          <w:rFonts w:ascii="仿宋_GB2312" w:eastAsia="仿宋_GB2312" w:hAnsi="仿宋_GB2312" w:cs="仿宋_GB2312" w:hint="eastAsia"/>
          <w:color w:val="000000" w:themeColor="text1"/>
          <w:sz w:val="32"/>
          <w:szCs w:val="32"/>
          <w:shd w:val="clear" w:color="auto" w:fill="FFFFFF"/>
        </w:rPr>
        <w:t>其他影响及合理性分析方面，项目选址不涉及文物古迹保护、不涉及重要矿产资源；项目所需原辅材料能够得到满足；项目选址现状基础设施条件较差，需在项目进场开工</w:t>
      </w:r>
      <w:proofErr w:type="gramStart"/>
      <w:r w:rsidRPr="004328B7">
        <w:rPr>
          <w:rFonts w:ascii="仿宋_GB2312" w:eastAsia="仿宋_GB2312" w:hAnsi="仿宋_GB2312" w:cs="仿宋_GB2312" w:hint="eastAsia"/>
          <w:color w:val="000000" w:themeColor="text1"/>
          <w:sz w:val="32"/>
          <w:szCs w:val="32"/>
          <w:shd w:val="clear" w:color="auto" w:fill="FFFFFF"/>
        </w:rPr>
        <w:t>前配套</w:t>
      </w:r>
      <w:proofErr w:type="gramEnd"/>
      <w:r w:rsidRPr="004328B7">
        <w:rPr>
          <w:rFonts w:ascii="仿宋_GB2312" w:eastAsia="仿宋_GB2312" w:hAnsi="仿宋_GB2312" w:cs="仿宋_GB2312" w:hint="eastAsia"/>
          <w:color w:val="000000" w:themeColor="text1"/>
          <w:sz w:val="32"/>
          <w:szCs w:val="32"/>
          <w:shd w:val="clear" w:color="auto" w:fill="FFFFFF"/>
        </w:rPr>
        <w:t>完善基础设施；项目选址工程地质条件良好，适宜建设；项目选址不涉及敏感点，远离学校、医院，且位于孝姑镇集中居住区常年最大风频的侧风方向；项目性质与周边拟入驻项目性质不冲突。</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000000" w:themeColor="text1"/>
          <w:sz w:val="32"/>
          <w:szCs w:val="32"/>
          <w:shd w:val="clear" w:color="auto" w:fill="FFFFFF"/>
        </w:rPr>
      </w:pPr>
      <w:r w:rsidRPr="004328B7">
        <w:rPr>
          <w:rFonts w:ascii="仿宋_GB2312" w:eastAsia="仿宋_GB2312" w:hAnsi="仿宋_GB2312" w:cs="仿宋_GB2312" w:hint="eastAsia"/>
          <w:color w:val="000000" w:themeColor="text1"/>
          <w:sz w:val="32"/>
          <w:szCs w:val="32"/>
          <w:shd w:val="clear" w:color="auto" w:fill="FFFFFF"/>
        </w:rPr>
        <w:t>综合来看，本项目属于乐山市2022年重点推进“挂图作战”项目，符合国家产业政策、供地政策和用地政策，项目不占用生态保护红线、不占用永久基本农田，做到了节约集约用地的相关要求，项目选址合理可行。</w:t>
      </w:r>
    </w:p>
    <w:p w:rsidR="00FB2FE4" w:rsidRPr="004328B7" w:rsidRDefault="009D1FF4" w:rsidP="004328B7">
      <w:pPr>
        <w:pStyle w:val="a6"/>
        <w:widowControl/>
        <w:shd w:val="clear" w:color="auto" w:fill="FFFFFF"/>
        <w:spacing w:beforeAutospacing="0" w:afterAutospacing="0" w:line="560" w:lineRule="exact"/>
        <w:ind w:firstLineChars="200" w:firstLine="640"/>
        <w:jc w:val="both"/>
        <w:rPr>
          <w:rFonts w:ascii="仿宋_GB2312" w:eastAsia="仿宋_GB2312" w:hAnsi="黑体" w:cs="黑体"/>
          <w:color w:val="000000" w:themeColor="text1"/>
          <w:sz w:val="32"/>
          <w:szCs w:val="32"/>
          <w:shd w:val="clear" w:color="auto" w:fill="FFFFFF"/>
        </w:rPr>
      </w:pPr>
      <w:r w:rsidRPr="004328B7">
        <w:rPr>
          <w:rFonts w:ascii="仿宋_GB2312" w:eastAsia="仿宋_GB2312" w:hAnsi="黑体" w:cs="黑体" w:hint="eastAsia"/>
          <w:color w:val="000000" w:themeColor="text1"/>
          <w:sz w:val="32"/>
          <w:szCs w:val="32"/>
          <w:shd w:val="clear" w:color="auto" w:fill="FFFFFF"/>
        </w:rPr>
        <w:t>三、建议</w:t>
      </w:r>
    </w:p>
    <w:p w:rsidR="00FB2FE4" w:rsidRPr="004328B7" w:rsidRDefault="009D1FF4" w:rsidP="004328B7">
      <w:pPr>
        <w:spacing w:line="560" w:lineRule="exact"/>
        <w:ind w:firstLineChars="200" w:firstLine="640"/>
        <w:rPr>
          <w:rFonts w:ascii="仿宋_GB2312" w:eastAsia="仿宋_GB2312" w:hAnsi="仿宋_GB2312" w:cs="仿宋_GB2312"/>
          <w:color w:val="000000" w:themeColor="text1"/>
          <w:kern w:val="0"/>
          <w:sz w:val="32"/>
          <w:szCs w:val="32"/>
          <w:shd w:val="clear" w:color="auto" w:fill="FFFFFF"/>
        </w:rPr>
      </w:pPr>
      <w:r w:rsidRPr="004328B7">
        <w:rPr>
          <w:rFonts w:ascii="仿宋_GB2312" w:eastAsia="仿宋_GB2312" w:hAnsi="仿宋_GB2312" w:cs="仿宋_GB2312" w:hint="eastAsia"/>
          <w:color w:val="000000" w:themeColor="text1"/>
          <w:kern w:val="0"/>
          <w:sz w:val="32"/>
          <w:szCs w:val="32"/>
          <w:shd w:val="clear" w:color="auto" w:fill="FFFFFF"/>
        </w:rPr>
        <w:t>本项目须纳入正在编制的犍为县国土空间规划；须取得环评许可后方可建设，并在方案设计阶段严格落实环</w:t>
      </w:r>
      <w:proofErr w:type="gramStart"/>
      <w:r w:rsidRPr="004328B7">
        <w:rPr>
          <w:rFonts w:ascii="仿宋_GB2312" w:eastAsia="仿宋_GB2312" w:hAnsi="仿宋_GB2312" w:cs="仿宋_GB2312" w:hint="eastAsia"/>
          <w:color w:val="000000" w:themeColor="text1"/>
          <w:kern w:val="0"/>
          <w:sz w:val="32"/>
          <w:szCs w:val="32"/>
          <w:shd w:val="clear" w:color="auto" w:fill="FFFFFF"/>
        </w:rPr>
        <w:t>评各项</w:t>
      </w:r>
      <w:proofErr w:type="gramEnd"/>
      <w:r w:rsidRPr="004328B7">
        <w:rPr>
          <w:rFonts w:ascii="仿宋_GB2312" w:eastAsia="仿宋_GB2312" w:hAnsi="仿宋_GB2312" w:cs="仿宋_GB2312" w:hint="eastAsia"/>
          <w:color w:val="000000" w:themeColor="text1"/>
          <w:kern w:val="0"/>
          <w:sz w:val="32"/>
          <w:szCs w:val="32"/>
          <w:shd w:val="clear" w:color="auto" w:fill="FFFFFF"/>
        </w:rPr>
        <w:t>要求。</w:t>
      </w:r>
    </w:p>
    <w:p w:rsidR="00FB2FE4" w:rsidRPr="004328B7" w:rsidRDefault="009D1FF4" w:rsidP="004328B7">
      <w:pPr>
        <w:pStyle w:val="a0"/>
        <w:spacing w:line="560" w:lineRule="exact"/>
        <w:ind w:firstLineChars="200" w:firstLine="640"/>
        <w:rPr>
          <w:rFonts w:ascii="仿宋_GB2312" w:eastAsia="仿宋_GB2312" w:hAnsi="仿宋_GB2312" w:cs="仿宋_GB2312"/>
          <w:color w:val="000000" w:themeColor="text1"/>
          <w:spacing w:val="0"/>
          <w:kern w:val="0"/>
          <w:sz w:val="32"/>
          <w:szCs w:val="32"/>
          <w:shd w:val="clear" w:color="auto" w:fill="FFFFFF"/>
        </w:rPr>
      </w:pPr>
      <w:r w:rsidRPr="004328B7">
        <w:rPr>
          <w:rFonts w:ascii="仿宋_GB2312" w:eastAsia="仿宋_GB2312" w:hAnsi="仿宋_GB2312" w:cs="仿宋_GB2312" w:hint="eastAsia"/>
          <w:color w:val="000000" w:themeColor="text1"/>
          <w:spacing w:val="0"/>
          <w:kern w:val="0"/>
          <w:sz w:val="32"/>
          <w:szCs w:val="32"/>
          <w:shd w:val="clear" w:color="auto" w:fill="FFFFFF"/>
        </w:rPr>
        <w:t>用地规划控制建议，根据《工业项目建设用地控制指标》（</w:t>
      </w:r>
      <w:proofErr w:type="gramStart"/>
      <w:r w:rsidRPr="004328B7">
        <w:rPr>
          <w:rFonts w:ascii="仿宋_GB2312" w:eastAsia="仿宋_GB2312" w:hAnsi="仿宋_GB2312" w:cs="仿宋_GB2312" w:hint="eastAsia"/>
          <w:color w:val="000000" w:themeColor="text1"/>
          <w:spacing w:val="0"/>
          <w:kern w:val="0"/>
          <w:sz w:val="32"/>
          <w:szCs w:val="32"/>
          <w:shd w:val="clear" w:color="auto" w:fill="FFFFFF"/>
        </w:rPr>
        <w:t>国土资发〔2008〕</w:t>
      </w:r>
      <w:proofErr w:type="gramEnd"/>
      <w:r w:rsidRPr="004328B7">
        <w:rPr>
          <w:rFonts w:ascii="仿宋_GB2312" w:eastAsia="仿宋_GB2312" w:hAnsi="仿宋_GB2312" w:cs="仿宋_GB2312" w:hint="eastAsia"/>
          <w:color w:val="000000" w:themeColor="text1"/>
          <w:spacing w:val="0"/>
          <w:kern w:val="0"/>
          <w:sz w:val="32"/>
          <w:szCs w:val="32"/>
          <w:shd w:val="clear" w:color="auto" w:fill="FFFFFF"/>
        </w:rPr>
        <w:t>24号），建议项目选址地块的引导性规划控制如下所示：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9"/>
        <w:gridCol w:w="6533"/>
      </w:tblGrid>
      <w:tr w:rsidR="00FB2FE4" w:rsidRPr="004328B7">
        <w:trPr>
          <w:trHeight w:hRule="exact" w:val="510"/>
          <w:jc w:val="center"/>
        </w:trPr>
        <w:tc>
          <w:tcPr>
            <w:tcW w:w="1721" w:type="pct"/>
            <w:tcBorders>
              <w:top w:val="single" w:sz="4" w:space="0" w:color="auto"/>
              <w:left w:val="single" w:sz="4" w:space="0" w:color="auto"/>
              <w:bottom w:val="single" w:sz="4" w:space="0" w:color="auto"/>
              <w:right w:val="single" w:sz="4" w:space="0" w:color="auto"/>
            </w:tcBorders>
            <w:shd w:val="clear" w:color="auto" w:fill="FFFFFF"/>
            <w:vAlign w:val="center"/>
          </w:tcPr>
          <w:p w:rsidR="00FB2FE4" w:rsidRPr="004328B7" w:rsidRDefault="009D1FF4">
            <w:pPr>
              <w:jc w:val="center"/>
              <w:rPr>
                <w:rFonts w:ascii="仿宋_GB2312" w:eastAsia="仿宋_GB2312"/>
                <w:b/>
                <w:color w:val="000000" w:themeColor="text1"/>
                <w:sz w:val="32"/>
                <w:szCs w:val="32"/>
              </w:rPr>
            </w:pPr>
            <w:r w:rsidRPr="004328B7">
              <w:rPr>
                <w:rFonts w:ascii="仿宋_GB2312" w:eastAsia="仿宋_GB2312" w:hint="eastAsia"/>
                <w:b/>
                <w:color w:val="000000" w:themeColor="text1"/>
                <w:sz w:val="32"/>
                <w:szCs w:val="32"/>
              </w:rPr>
              <w:t>规划指标</w:t>
            </w:r>
          </w:p>
        </w:tc>
        <w:tc>
          <w:tcPr>
            <w:tcW w:w="3279" w:type="pct"/>
            <w:tcBorders>
              <w:top w:val="single" w:sz="4" w:space="0" w:color="auto"/>
              <w:left w:val="single" w:sz="4" w:space="0" w:color="auto"/>
              <w:bottom w:val="single" w:sz="4" w:space="0" w:color="auto"/>
              <w:right w:val="single" w:sz="4" w:space="0" w:color="auto"/>
            </w:tcBorders>
            <w:shd w:val="clear" w:color="auto" w:fill="FFFFFF"/>
            <w:vAlign w:val="center"/>
          </w:tcPr>
          <w:p w:rsidR="00FB2FE4" w:rsidRPr="004328B7" w:rsidRDefault="009D1FF4">
            <w:pPr>
              <w:jc w:val="center"/>
              <w:rPr>
                <w:rFonts w:ascii="仿宋_GB2312" w:eastAsia="仿宋_GB2312"/>
                <w:b/>
                <w:color w:val="000000" w:themeColor="text1"/>
                <w:sz w:val="32"/>
                <w:szCs w:val="32"/>
              </w:rPr>
            </w:pPr>
            <w:r w:rsidRPr="004328B7">
              <w:rPr>
                <w:rFonts w:ascii="仿宋_GB2312" w:eastAsia="仿宋_GB2312" w:hint="eastAsia"/>
                <w:b/>
                <w:color w:val="000000" w:themeColor="text1"/>
                <w:sz w:val="32"/>
                <w:szCs w:val="32"/>
              </w:rPr>
              <w:t>规划论证条件</w:t>
            </w:r>
          </w:p>
        </w:tc>
      </w:tr>
      <w:tr w:rsidR="00FB2FE4" w:rsidRPr="004328B7">
        <w:trPr>
          <w:trHeight w:val="510"/>
          <w:jc w:val="center"/>
        </w:trPr>
        <w:tc>
          <w:tcPr>
            <w:tcW w:w="1721" w:type="pct"/>
            <w:tcBorders>
              <w:top w:val="single" w:sz="4" w:space="0" w:color="auto"/>
            </w:tcBorders>
            <w:vAlign w:val="center"/>
          </w:tcPr>
          <w:p w:rsidR="00FB2FE4" w:rsidRPr="004328B7" w:rsidRDefault="009D1FF4">
            <w:pPr>
              <w:jc w:val="center"/>
              <w:rPr>
                <w:rFonts w:ascii="仿宋_GB2312" w:eastAsia="仿宋_GB2312"/>
                <w:bCs/>
                <w:color w:val="000000" w:themeColor="text1"/>
                <w:sz w:val="32"/>
                <w:szCs w:val="32"/>
              </w:rPr>
            </w:pPr>
            <w:r w:rsidRPr="004328B7">
              <w:rPr>
                <w:rFonts w:ascii="仿宋_GB2312" w:eastAsia="仿宋_GB2312" w:hint="eastAsia"/>
                <w:bCs/>
                <w:color w:val="000000" w:themeColor="text1"/>
                <w:sz w:val="32"/>
                <w:szCs w:val="32"/>
              </w:rPr>
              <w:t>用地性质</w:t>
            </w:r>
          </w:p>
        </w:tc>
        <w:tc>
          <w:tcPr>
            <w:tcW w:w="3279" w:type="pct"/>
            <w:tcBorders>
              <w:top w:val="single" w:sz="4" w:space="0" w:color="auto"/>
            </w:tcBorders>
            <w:vAlign w:val="center"/>
          </w:tcPr>
          <w:p w:rsidR="00FB2FE4" w:rsidRPr="004328B7" w:rsidRDefault="009D1FF4">
            <w:pPr>
              <w:jc w:val="center"/>
              <w:rPr>
                <w:rFonts w:ascii="仿宋_GB2312" w:eastAsia="仿宋_GB2312" w:hAnsi="仿宋_GB2312" w:cs="仿宋_GB2312"/>
                <w:color w:val="000000" w:themeColor="text1"/>
                <w:sz w:val="32"/>
                <w:szCs w:val="32"/>
              </w:rPr>
            </w:pPr>
            <w:r w:rsidRPr="004328B7">
              <w:rPr>
                <w:rFonts w:ascii="仿宋_GB2312" w:eastAsia="仿宋_GB2312" w:hAnsi="仿宋_GB2312" w:cs="仿宋_GB2312" w:hint="eastAsia"/>
                <w:color w:val="000000" w:themeColor="text1"/>
                <w:sz w:val="32"/>
                <w:szCs w:val="32"/>
              </w:rPr>
              <w:t>工业用地</w:t>
            </w:r>
          </w:p>
        </w:tc>
      </w:tr>
      <w:tr w:rsidR="00FB2FE4" w:rsidRPr="004328B7">
        <w:trPr>
          <w:trHeight w:val="510"/>
          <w:jc w:val="center"/>
        </w:trPr>
        <w:tc>
          <w:tcPr>
            <w:tcW w:w="1721" w:type="pct"/>
            <w:vAlign w:val="center"/>
          </w:tcPr>
          <w:p w:rsidR="00FB2FE4" w:rsidRPr="004328B7" w:rsidRDefault="009D1FF4">
            <w:pPr>
              <w:jc w:val="center"/>
              <w:rPr>
                <w:rFonts w:ascii="仿宋_GB2312" w:eastAsia="仿宋_GB2312"/>
                <w:bCs/>
                <w:color w:val="000000" w:themeColor="text1"/>
                <w:sz w:val="32"/>
                <w:szCs w:val="32"/>
              </w:rPr>
            </w:pPr>
            <w:r w:rsidRPr="004328B7">
              <w:rPr>
                <w:rFonts w:ascii="仿宋_GB2312" w:eastAsia="仿宋_GB2312" w:hint="eastAsia"/>
                <w:bCs/>
                <w:color w:val="000000" w:themeColor="text1"/>
                <w:sz w:val="32"/>
                <w:szCs w:val="32"/>
              </w:rPr>
              <w:t>用地面积</w:t>
            </w:r>
          </w:p>
        </w:tc>
        <w:tc>
          <w:tcPr>
            <w:tcW w:w="3279" w:type="pct"/>
            <w:vAlign w:val="center"/>
          </w:tcPr>
          <w:p w:rsidR="00FB2FE4" w:rsidRPr="004328B7" w:rsidRDefault="009D1FF4">
            <w:pPr>
              <w:widowControl/>
              <w:jc w:val="center"/>
              <w:rPr>
                <w:rFonts w:ascii="仿宋_GB2312" w:eastAsia="仿宋_GB2312" w:hAnsi="仿宋_GB2312" w:cs="仿宋_GB2312"/>
                <w:color w:val="000000" w:themeColor="text1"/>
                <w:sz w:val="32"/>
                <w:szCs w:val="32"/>
              </w:rPr>
            </w:pPr>
            <w:r w:rsidRPr="004328B7">
              <w:rPr>
                <w:rFonts w:ascii="仿宋_GB2312" w:eastAsia="仿宋_GB2312" w:hAnsi="仿宋_GB2312" w:cs="仿宋_GB2312" w:hint="eastAsia"/>
                <w:color w:val="000000" w:themeColor="text1"/>
                <w:sz w:val="32"/>
                <w:szCs w:val="32"/>
              </w:rPr>
              <w:t>434099平方米（合651.15亩）</w:t>
            </w:r>
          </w:p>
        </w:tc>
      </w:tr>
      <w:tr w:rsidR="00FB2FE4" w:rsidRPr="004328B7">
        <w:trPr>
          <w:trHeight w:val="510"/>
          <w:jc w:val="center"/>
        </w:trPr>
        <w:tc>
          <w:tcPr>
            <w:tcW w:w="1721" w:type="pct"/>
            <w:vAlign w:val="center"/>
          </w:tcPr>
          <w:p w:rsidR="00FB2FE4" w:rsidRPr="004328B7" w:rsidRDefault="009D1FF4">
            <w:pPr>
              <w:jc w:val="center"/>
              <w:rPr>
                <w:rFonts w:ascii="仿宋_GB2312" w:eastAsia="仿宋_GB2312"/>
                <w:bCs/>
                <w:color w:val="000000" w:themeColor="text1"/>
                <w:sz w:val="32"/>
                <w:szCs w:val="32"/>
              </w:rPr>
            </w:pPr>
            <w:r w:rsidRPr="004328B7">
              <w:rPr>
                <w:rFonts w:ascii="仿宋_GB2312" w:eastAsia="仿宋_GB2312" w:hint="eastAsia"/>
                <w:bCs/>
                <w:color w:val="000000" w:themeColor="text1"/>
                <w:sz w:val="32"/>
                <w:szCs w:val="32"/>
              </w:rPr>
              <w:t>容积率</w:t>
            </w:r>
          </w:p>
        </w:tc>
        <w:tc>
          <w:tcPr>
            <w:tcW w:w="3279" w:type="pct"/>
            <w:vAlign w:val="center"/>
          </w:tcPr>
          <w:p w:rsidR="00FB2FE4" w:rsidRPr="004328B7" w:rsidRDefault="009D1FF4">
            <w:pPr>
              <w:jc w:val="center"/>
              <w:rPr>
                <w:rFonts w:ascii="仿宋_GB2312" w:eastAsia="仿宋_GB2312" w:hAnsi="仿宋_GB2312" w:cs="仿宋_GB2312"/>
                <w:color w:val="000000" w:themeColor="text1"/>
                <w:sz w:val="32"/>
                <w:szCs w:val="32"/>
              </w:rPr>
            </w:pPr>
            <w:r w:rsidRPr="004328B7">
              <w:rPr>
                <w:rFonts w:ascii="仿宋_GB2312" w:eastAsia="仿宋_GB2312" w:hAnsi="仿宋_GB2312" w:cs="仿宋_GB2312" w:hint="eastAsia"/>
                <w:color w:val="000000" w:themeColor="text1"/>
                <w:sz w:val="32"/>
                <w:szCs w:val="32"/>
              </w:rPr>
              <w:t>不小于0.8</w:t>
            </w:r>
          </w:p>
        </w:tc>
      </w:tr>
      <w:tr w:rsidR="00FB2FE4" w:rsidRPr="004328B7">
        <w:trPr>
          <w:trHeight w:val="510"/>
          <w:jc w:val="center"/>
        </w:trPr>
        <w:tc>
          <w:tcPr>
            <w:tcW w:w="1721" w:type="pct"/>
            <w:vAlign w:val="center"/>
          </w:tcPr>
          <w:p w:rsidR="00FB2FE4" w:rsidRPr="004328B7" w:rsidRDefault="009D1FF4">
            <w:pPr>
              <w:jc w:val="center"/>
              <w:rPr>
                <w:rFonts w:ascii="仿宋_GB2312" w:eastAsia="仿宋_GB2312"/>
                <w:bCs/>
                <w:color w:val="000000" w:themeColor="text1"/>
                <w:sz w:val="32"/>
                <w:szCs w:val="32"/>
              </w:rPr>
            </w:pPr>
            <w:r w:rsidRPr="004328B7">
              <w:rPr>
                <w:rFonts w:ascii="仿宋_GB2312" w:eastAsia="仿宋_GB2312" w:hint="eastAsia"/>
                <w:bCs/>
                <w:color w:val="000000" w:themeColor="text1"/>
                <w:sz w:val="32"/>
                <w:szCs w:val="32"/>
              </w:rPr>
              <w:lastRenderedPageBreak/>
              <w:t>绿地率</w:t>
            </w:r>
          </w:p>
        </w:tc>
        <w:tc>
          <w:tcPr>
            <w:tcW w:w="3279" w:type="pct"/>
            <w:vAlign w:val="center"/>
          </w:tcPr>
          <w:p w:rsidR="00FB2FE4" w:rsidRPr="004328B7" w:rsidRDefault="009D1FF4">
            <w:pPr>
              <w:jc w:val="center"/>
              <w:rPr>
                <w:rFonts w:ascii="仿宋_GB2312" w:eastAsia="仿宋_GB2312" w:hAnsi="仿宋_GB2312" w:cs="仿宋_GB2312"/>
                <w:color w:val="000000" w:themeColor="text1"/>
                <w:sz w:val="32"/>
                <w:szCs w:val="32"/>
              </w:rPr>
            </w:pPr>
            <w:r w:rsidRPr="004328B7">
              <w:rPr>
                <w:rFonts w:ascii="仿宋_GB2312" w:eastAsia="仿宋_GB2312" w:hAnsi="仿宋_GB2312" w:cs="仿宋_GB2312" w:hint="eastAsia"/>
                <w:color w:val="000000" w:themeColor="text1"/>
                <w:sz w:val="32"/>
                <w:szCs w:val="32"/>
              </w:rPr>
              <w:t>不大于20%</w:t>
            </w:r>
          </w:p>
        </w:tc>
      </w:tr>
      <w:tr w:rsidR="00FB2FE4" w:rsidRPr="004328B7">
        <w:trPr>
          <w:trHeight w:val="510"/>
          <w:jc w:val="center"/>
        </w:trPr>
        <w:tc>
          <w:tcPr>
            <w:tcW w:w="1721" w:type="pct"/>
            <w:vAlign w:val="center"/>
          </w:tcPr>
          <w:p w:rsidR="00FB2FE4" w:rsidRPr="004328B7" w:rsidRDefault="009D1FF4">
            <w:pPr>
              <w:jc w:val="center"/>
              <w:rPr>
                <w:rFonts w:ascii="仿宋_GB2312" w:eastAsia="仿宋_GB2312"/>
                <w:bCs/>
                <w:color w:val="000000" w:themeColor="text1"/>
                <w:sz w:val="32"/>
                <w:szCs w:val="32"/>
              </w:rPr>
            </w:pPr>
            <w:r w:rsidRPr="004328B7">
              <w:rPr>
                <w:rFonts w:ascii="仿宋_GB2312" w:eastAsia="仿宋_GB2312" w:hint="eastAsia"/>
                <w:bCs/>
                <w:color w:val="000000" w:themeColor="text1"/>
                <w:sz w:val="32"/>
                <w:szCs w:val="32"/>
              </w:rPr>
              <w:t>建筑系数</w:t>
            </w:r>
          </w:p>
        </w:tc>
        <w:tc>
          <w:tcPr>
            <w:tcW w:w="3279" w:type="pct"/>
            <w:vAlign w:val="center"/>
          </w:tcPr>
          <w:p w:rsidR="00FB2FE4" w:rsidRPr="004328B7" w:rsidRDefault="009D1FF4">
            <w:pPr>
              <w:jc w:val="center"/>
              <w:rPr>
                <w:rFonts w:ascii="仿宋_GB2312" w:eastAsia="仿宋_GB2312" w:hAnsi="仿宋_GB2312" w:cs="仿宋_GB2312"/>
                <w:color w:val="000000" w:themeColor="text1"/>
                <w:sz w:val="32"/>
                <w:szCs w:val="32"/>
              </w:rPr>
            </w:pPr>
            <w:r w:rsidRPr="004328B7">
              <w:rPr>
                <w:rFonts w:ascii="仿宋_GB2312" w:eastAsia="仿宋_GB2312" w:hAnsi="仿宋_GB2312" w:cs="仿宋_GB2312" w:hint="eastAsia"/>
                <w:color w:val="000000" w:themeColor="text1"/>
                <w:sz w:val="32"/>
                <w:szCs w:val="32"/>
              </w:rPr>
              <w:t>不小于30%</w:t>
            </w:r>
          </w:p>
        </w:tc>
      </w:tr>
      <w:tr w:rsidR="00FB2FE4" w:rsidRPr="004328B7">
        <w:trPr>
          <w:trHeight w:val="510"/>
          <w:jc w:val="center"/>
        </w:trPr>
        <w:tc>
          <w:tcPr>
            <w:tcW w:w="1721" w:type="pct"/>
            <w:vAlign w:val="center"/>
          </w:tcPr>
          <w:p w:rsidR="00FB2FE4" w:rsidRPr="004328B7" w:rsidRDefault="009D1FF4">
            <w:pPr>
              <w:jc w:val="center"/>
              <w:rPr>
                <w:rFonts w:ascii="仿宋_GB2312" w:eastAsia="仿宋_GB2312"/>
                <w:bCs/>
                <w:color w:val="000000" w:themeColor="text1"/>
                <w:sz w:val="32"/>
                <w:szCs w:val="32"/>
              </w:rPr>
            </w:pPr>
            <w:r w:rsidRPr="004328B7">
              <w:rPr>
                <w:rFonts w:ascii="仿宋_GB2312" w:eastAsia="仿宋_GB2312" w:hint="eastAsia"/>
                <w:bCs/>
                <w:color w:val="000000" w:themeColor="text1"/>
                <w:sz w:val="32"/>
                <w:szCs w:val="32"/>
              </w:rPr>
              <w:t>建筑高度</w:t>
            </w:r>
          </w:p>
        </w:tc>
        <w:tc>
          <w:tcPr>
            <w:tcW w:w="3279" w:type="pct"/>
            <w:vAlign w:val="center"/>
          </w:tcPr>
          <w:p w:rsidR="00FB2FE4" w:rsidRPr="004328B7" w:rsidRDefault="009D1FF4">
            <w:pPr>
              <w:jc w:val="center"/>
              <w:rPr>
                <w:rFonts w:ascii="仿宋_GB2312" w:eastAsia="仿宋_GB2312" w:hAnsi="仿宋_GB2312" w:cs="仿宋_GB2312"/>
                <w:color w:val="000000" w:themeColor="text1"/>
                <w:sz w:val="32"/>
                <w:szCs w:val="32"/>
              </w:rPr>
            </w:pPr>
            <w:r w:rsidRPr="004328B7">
              <w:rPr>
                <w:rFonts w:ascii="仿宋_GB2312" w:eastAsia="仿宋_GB2312" w:hAnsi="仿宋_GB2312" w:cs="仿宋_GB2312" w:hint="eastAsia"/>
                <w:color w:val="000000" w:themeColor="text1"/>
                <w:sz w:val="32"/>
                <w:szCs w:val="32"/>
              </w:rPr>
              <w:t>-</w:t>
            </w:r>
          </w:p>
        </w:tc>
      </w:tr>
      <w:tr w:rsidR="00FB2FE4" w:rsidRPr="004328B7">
        <w:trPr>
          <w:trHeight w:val="510"/>
          <w:jc w:val="center"/>
        </w:trPr>
        <w:tc>
          <w:tcPr>
            <w:tcW w:w="1721" w:type="pct"/>
            <w:vAlign w:val="center"/>
          </w:tcPr>
          <w:p w:rsidR="00FB2FE4" w:rsidRPr="004328B7" w:rsidRDefault="009D1FF4">
            <w:pPr>
              <w:jc w:val="center"/>
              <w:rPr>
                <w:rFonts w:ascii="仿宋_GB2312" w:eastAsia="仿宋_GB2312"/>
                <w:bCs/>
                <w:color w:val="000000" w:themeColor="text1"/>
                <w:sz w:val="32"/>
                <w:szCs w:val="32"/>
              </w:rPr>
            </w:pPr>
            <w:r w:rsidRPr="004328B7">
              <w:rPr>
                <w:rFonts w:ascii="仿宋_GB2312" w:eastAsia="仿宋_GB2312" w:hint="eastAsia"/>
                <w:bCs/>
                <w:color w:val="000000" w:themeColor="text1"/>
                <w:sz w:val="32"/>
                <w:szCs w:val="32"/>
              </w:rPr>
              <w:t>其它</w:t>
            </w:r>
          </w:p>
        </w:tc>
        <w:tc>
          <w:tcPr>
            <w:tcW w:w="3279" w:type="pct"/>
            <w:vAlign w:val="center"/>
          </w:tcPr>
          <w:p w:rsidR="00FB2FE4" w:rsidRPr="004328B7" w:rsidRDefault="009D1FF4">
            <w:pPr>
              <w:widowControl/>
              <w:jc w:val="left"/>
              <w:rPr>
                <w:rFonts w:ascii="仿宋_GB2312" w:eastAsia="仿宋_GB2312"/>
                <w:color w:val="000000" w:themeColor="text1"/>
                <w:sz w:val="32"/>
                <w:szCs w:val="32"/>
              </w:rPr>
            </w:pPr>
            <w:r w:rsidRPr="004328B7">
              <w:rPr>
                <w:rFonts w:ascii="仿宋_GB2312" w:eastAsia="仿宋_GB2312" w:hAnsi="仿宋_GB2312" w:cs="仿宋_GB2312" w:hint="eastAsia"/>
                <w:color w:val="000000" w:themeColor="text1"/>
                <w:sz w:val="32"/>
                <w:szCs w:val="32"/>
              </w:rPr>
              <w:t>行政公及生活服务设施用地占总用地面积不大于7%</w:t>
            </w:r>
          </w:p>
        </w:tc>
      </w:tr>
    </w:tbl>
    <w:p w:rsidR="00FB2FE4" w:rsidRPr="004328B7" w:rsidRDefault="00FB2FE4" w:rsidP="004328B7">
      <w:pPr>
        <w:pStyle w:val="a0"/>
        <w:spacing w:line="560" w:lineRule="exact"/>
        <w:ind w:firstLineChars="200" w:firstLine="640"/>
        <w:rPr>
          <w:rFonts w:ascii="仿宋_GB2312" w:eastAsia="仿宋_GB2312" w:hAnsi="仿宋_GB2312" w:cs="仿宋_GB2312"/>
          <w:color w:val="000000" w:themeColor="text1"/>
          <w:spacing w:val="0"/>
          <w:kern w:val="0"/>
          <w:sz w:val="32"/>
          <w:szCs w:val="32"/>
          <w:shd w:val="clear" w:color="auto" w:fill="FFFFFF"/>
        </w:rPr>
      </w:pPr>
    </w:p>
    <w:p w:rsidR="00FB2FE4" w:rsidRPr="004328B7" w:rsidRDefault="00FB2FE4">
      <w:pPr>
        <w:pStyle w:val="a6"/>
        <w:widowControl/>
        <w:shd w:val="clear" w:color="auto" w:fill="FFFFFF"/>
        <w:spacing w:beforeAutospacing="0" w:afterAutospacing="0" w:line="20" w:lineRule="exact"/>
        <w:jc w:val="both"/>
        <w:rPr>
          <w:rFonts w:ascii="仿宋_GB2312" w:eastAsia="仿宋_GB2312" w:hAnsi="仿宋_GB2312" w:cs="仿宋_GB2312"/>
          <w:color w:val="000000" w:themeColor="text1"/>
          <w:sz w:val="32"/>
          <w:szCs w:val="32"/>
          <w:shd w:val="clear" w:color="auto" w:fill="FFFFFF"/>
        </w:rPr>
        <w:sectPr w:rsidR="00FB2FE4" w:rsidRPr="004328B7">
          <w:footerReference w:type="default" r:id="rId7"/>
          <w:pgSz w:w="11906" w:h="16838"/>
          <w:pgMar w:top="1440" w:right="1080" w:bottom="1440" w:left="1080" w:header="851" w:footer="992" w:gutter="0"/>
          <w:cols w:space="425"/>
          <w:docGrid w:type="lines" w:linePitch="312"/>
        </w:sectPr>
      </w:pPr>
    </w:p>
    <w:p w:rsidR="00FB2FE4" w:rsidRPr="004328B7" w:rsidRDefault="009D1FF4">
      <w:pPr>
        <w:pStyle w:val="a6"/>
        <w:widowControl/>
        <w:shd w:val="clear" w:color="auto" w:fill="FFFFFF"/>
        <w:spacing w:beforeAutospacing="0" w:afterAutospacing="0"/>
        <w:jc w:val="both"/>
        <w:rPr>
          <w:rFonts w:ascii="仿宋_GB2312" w:eastAsia="仿宋_GB2312" w:hAnsi="仿宋_GB2312" w:cs="仿宋_GB2312"/>
          <w:b/>
          <w:bCs/>
          <w:color w:val="000000" w:themeColor="text1"/>
          <w:sz w:val="32"/>
          <w:szCs w:val="32"/>
          <w:shd w:val="clear" w:color="auto" w:fill="FFFFFF"/>
        </w:rPr>
      </w:pPr>
      <w:r w:rsidRPr="004328B7">
        <w:rPr>
          <w:rFonts w:ascii="仿宋_GB2312" w:eastAsia="仿宋_GB2312" w:hint="eastAsia"/>
          <w:noProof/>
          <w:color w:val="000000" w:themeColor="text1"/>
          <w:sz w:val="32"/>
          <w:szCs w:val="32"/>
        </w:rPr>
        <w:lastRenderedPageBreak/>
        <w:drawing>
          <wp:anchor distT="0" distB="0" distL="0" distR="0" simplePos="0" relativeHeight="251659264" behindDoc="0" locked="0" layoutInCell="1" allowOverlap="1">
            <wp:simplePos x="0" y="0"/>
            <wp:positionH relativeFrom="column">
              <wp:posOffset>843915</wp:posOffset>
            </wp:positionH>
            <wp:positionV relativeFrom="paragraph">
              <wp:posOffset>556895</wp:posOffset>
            </wp:positionV>
            <wp:extent cx="8644255" cy="6321425"/>
            <wp:effectExtent l="0" t="0" r="4445"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648895" cy="6324907"/>
                    </a:xfrm>
                    <a:prstGeom prst="rect">
                      <a:avLst/>
                    </a:prstGeom>
                    <a:noFill/>
                    <a:ln>
                      <a:noFill/>
                    </a:ln>
                  </pic:spPr>
                </pic:pic>
              </a:graphicData>
            </a:graphic>
          </wp:anchor>
        </w:drawing>
      </w:r>
      <w:r w:rsidRPr="004328B7">
        <w:rPr>
          <w:rFonts w:ascii="仿宋_GB2312" w:eastAsia="仿宋_GB2312" w:hAnsi="黑体" w:cs="黑体" w:hint="eastAsia"/>
          <w:color w:val="000000" w:themeColor="text1"/>
          <w:sz w:val="32"/>
          <w:szCs w:val="32"/>
          <w:shd w:val="clear" w:color="auto" w:fill="FFFFFF"/>
        </w:rPr>
        <w:t>附图：项目选址区位示意图、项目选址与基本农田和耕地关系图、项目选址卫生防护距离示意图、项目选址与敏感点关系示意图</w:t>
      </w:r>
    </w:p>
    <w:sectPr w:rsidR="00FB2FE4" w:rsidRPr="004328B7" w:rsidSect="005B6124">
      <w:pgSz w:w="16838" w:h="11906" w:orient="landscape"/>
      <w:pgMar w:top="567" w:right="283" w:bottom="567" w:left="283"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FF4" w:rsidRDefault="009D1FF4">
      <w:r>
        <w:separator/>
      </w:r>
    </w:p>
  </w:endnote>
  <w:endnote w:type="continuationSeparator" w:id="1">
    <w:p w:rsidR="009D1FF4" w:rsidRDefault="009D1F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FE4" w:rsidRDefault="002720E7">
    <w:pPr>
      <w:pStyle w:val="a4"/>
    </w:pPr>
    <w:r>
      <w:rPr>
        <w:noProof/>
      </w:rPr>
      <w:pict>
        <v:shapetype id="_x0000_t202" coordsize="21600,21600" o:spt="202" path="m,l,21600r21600,l21600,xe">
          <v:stroke joinstyle="miter"/>
          <v:path gradientshapeok="t" o:connecttype="rect"/>
        </v:shapetype>
        <v:shape id="文本框 2" o:spid="_x0000_s4097" type="#_x0000_t202" style="position:absolute;margin-left:508.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FB2FE4" w:rsidRDefault="009D1FF4">
                <w:pPr>
                  <w:pStyle w:val="a4"/>
                  <w:ind w:leftChars="100" w:left="210" w:rightChars="100" w:right="210"/>
                  <w:rPr>
                    <w:rFonts w:asciiTheme="minorEastAsia" w:hAnsiTheme="minorEastAsia" w:cstheme="minorEastAsia"/>
                    <w:sz w:val="28"/>
                    <w:szCs w:val="28"/>
                  </w:rPr>
                </w:pPr>
                <w:r>
                  <w:rPr>
                    <w:rFonts w:asciiTheme="minorEastAsia" w:hAnsiTheme="minorEastAsia" w:cstheme="minorEastAsia" w:hint="eastAsia"/>
                    <w:sz w:val="28"/>
                    <w:szCs w:val="28"/>
                  </w:rPr>
                  <w:t>—</w:t>
                </w:r>
                <w:r w:rsidR="002720E7">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sidR="002720E7">
                  <w:rPr>
                    <w:rFonts w:asciiTheme="minorEastAsia" w:hAnsiTheme="minorEastAsia" w:cstheme="minorEastAsia" w:hint="eastAsia"/>
                    <w:sz w:val="28"/>
                    <w:szCs w:val="28"/>
                  </w:rPr>
                  <w:fldChar w:fldCharType="separate"/>
                </w:r>
                <w:r w:rsidR="008A4BBA">
                  <w:rPr>
                    <w:rFonts w:asciiTheme="minorEastAsia" w:hAnsiTheme="minorEastAsia" w:cstheme="minorEastAsia"/>
                    <w:noProof/>
                    <w:sz w:val="28"/>
                    <w:szCs w:val="28"/>
                  </w:rPr>
                  <w:t>4</w:t>
                </w:r>
                <w:r w:rsidR="002720E7">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FF4" w:rsidRDefault="009D1FF4">
      <w:r>
        <w:separator/>
      </w:r>
    </w:p>
  </w:footnote>
  <w:footnote w:type="continuationSeparator" w:id="1">
    <w:p w:rsidR="009D1FF4" w:rsidRDefault="009D1FF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9"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jBmNDIwM2JiYWU3ZjE2OWY0YjQxN2QzNjIwNDhlYzkifQ=="/>
  </w:docVars>
  <w:rsids>
    <w:rsidRoot w:val="00FE0F02"/>
    <w:rsid w:val="00011108"/>
    <w:rsid w:val="00057B04"/>
    <w:rsid w:val="00094321"/>
    <w:rsid w:val="000E5601"/>
    <w:rsid w:val="000F25F0"/>
    <w:rsid w:val="001266A3"/>
    <w:rsid w:val="00143961"/>
    <w:rsid w:val="00153E81"/>
    <w:rsid w:val="00156543"/>
    <w:rsid w:val="00161BB8"/>
    <w:rsid w:val="00173557"/>
    <w:rsid w:val="00213181"/>
    <w:rsid w:val="00214E9B"/>
    <w:rsid w:val="00225E49"/>
    <w:rsid w:val="00271F4A"/>
    <w:rsid w:val="002720E7"/>
    <w:rsid w:val="00284D2C"/>
    <w:rsid w:val="00294D74"/>
    <w:rsid w:val="002A436D"/>
    <w:rsid w:val="002D11C2"/>
    <w:rsid w:val="00321544"/>
    <w:rsid w:val="00331888"/>
    <w:rsid w:val="00340A30"/>
    <w:rsid w:val="00345A70"/>
    <w:rsid w:val="0037721E"/>
    <w:rsid w:val="00377802"/>
    <w:rsid w:val="003A41BA"/>
    <w:rsid w:val="003C059F"/>
    <w:rsid w:val="003C155E"/>
    <w:rsid w:val="003E01E0"/>
    <w:rsid w:val="003F6A7A"/>
    <w:rsid w:val="003F7295"/>
    <w:rsid w:val="004052DB"/>
    <w:rsid w:val="004328B7"/>
    <w:rsid w:val="00437D17"/>
    <w:rsid w:val="004578A0"/>
    <w:rsid w:val="0048528B"/>
    <w:rsid w:val="004944B8"/>
    <w:rsid w:val="004A00C4"/>
    <w:rsid w:val="004C58C2"/>
    <w:rsid w:val="004D0AE7"/>
    <w:rsid w:val="004D5D3C"/>
    <w:rsid w:val="0050638A"/>
    <w:rsid w:val="005410C5"/>
    <w:rsid w:val="005B58E4"/>
    <w:rsid w:val="005B6124"/>
    <w:rsid w:val="005D4EC9"/>
    <w:rsid w:val="00645EB9"/>
    <w:rsid w:val="00647DCC"/>
    <w:rsid w:val="0066425C"/>
    <w:rsid w:val="00694A17"/>
    <w:rsid w:val="006A4163"/>
    <w:rsid w:val="006A5DA8"/>
    <w:rsid w:val="006C06B0"/>
    <w:rsid w:val="006E6244"/>
    <w:rsid w:val="006E729E"/>
    <w:rsid w:val="00700048"/>
    <w:rsid w:val="00707D78"/>
    <w:rsid w:val="00736D4D"/>
    <w:rsid w:val="00740ADC"/>
    <w:rsid w:val="00750057"/>
    <w:rsid w:val="00793F74"/>
    <w:rsid w:val="00796E50"/>
    <w:rsid w:val="007C5ED7"/>
    <w:rsid w:val="007C7F88"/>
    <w:rsid w:val="007D2080"/>
    <w:rsid w:val="007E1CBF"/>
    <w:rsid w:val="007E2A15"/>
    <w:rsid w:val="007E3C10"/>
    <w:rsid w:val="007F0D75"/>
    <w:rsid w:val="00806F1C"/>
    <w:rsid w:val="008420CF"/>
    <w:rsid w:val="00844556"/>
    <w:rsid w:val="008555BD"/>
    <w:rsid w:val="00863099"/>
    <w:rsid w:val="00867A58"/>
    <w:rsid w:val="008A4BBA"/>
    <w:rsid w:val="008B2E4D"/>
    <w:rsid w:val="008B5B0B"/>
    <w:rsid w:val="00931225"/>
    <w:rsid w:val="00932E84"/>
    <w:rsid w:val="009561EE"/>
    <w:rsid w:val="009A10A9"/>
    <w:rsid w:val="009D1FF4"/>
    <w:rsid w:val="009E6D7B"/>
    <w:rsid w:val="00A206F8"/>
    <w:rsid w:val="00A51ED9"/>
    <w:rsid w:val="00A5249B"/>
    <w:rsid w:val="00A561B1"/>
    <w:rsid w:val="00A85373"/>
    <w:rsid w:val="00AA51AC"/>
    <w:rsid w:val="00AB2F3C"/>
    <w:rsid w:val="00B45E03"/>
    <w:rsid w:val="00B516BA"/>
    <w:rsid w:val="00B64FC4"/>
    <w:rsid w:val="00B753CC"/>
    <w:rsid w:val="00B77B11"/>
    <w:rsid w:val="00BB061F"/>
    <w:rsid w:val="00BB2FD6"/>
    <w:rsid w:val="00BD6975"/>
    <w:rsid w:val="00C416F2"/>
    <w:rsid w:val="00C72C7D"/>
    <w:rsid w:val="00CC2189"/>
    <w:rsid w:val="00D161E4"/>
    <w:rsid w:val="00D33B3F"/>
    <w:rsid w:val="00D366AB"/>
    <w:rsid w:val="00D4122E"/>
    <w:rsid w:val="00D42C4B"/>
    <w:rsid w:val="00D45A63"/>
    <w:rsid w:val="00D522C5"/>
    <w:rsid w:val="00D575AD"/>
    <w:rsid w:val="00D63655"/>
    <w:rsid w:val="00D6743C"/>
    <w:rsid w:val="00D74A9F"/>
    <w:rsid w:val="00DE5935"/>
    <w:rsid w:val="00E1342E"/>
    <w:rsid w:val="00E22D44"/>
    <w:rsid w:val="00E44E08"/>
    <w:rsid w:val="00E84642"/>
    <w:rsid w:val="00EC40FB"/>
    <w:rsid w:val="00EC62AF"/>
    <w:rsid w:val="00EC715C"/>
    <w:rsid w:val="00F00855"/>
    <w:rsid w:val="00F00C44"/>
    <w:rsid w:val="00F0729B"/>
    <w:rsid w:val="00F15E76"/>
    <w:rsid w:val="00F46347"/>
    <w:rsid w:val="00F55D21"/>
    <w:rsid w:val="00F7574B"/>
    <w:rsid w:val="00FB2FE4"/>
    <w:rsid w:val="00FB441C"/>
    <w:rsid w:val="00FC14ED"/>
    <w:rsid w:val="00FE0F02"/>
    <w:rsid w:val="00FF5926"/>
    <w:rsid w:val="03FB03BA"/>
    <w:rsid w:val="056B76BD"/>
    <w:rsid w:val="073A4D19"/>
    <w:rsid w:val="084142D0"/>
    <w:rsid w:val="0854499A"/>
    <w:rsid w:val="08E46EA7"/>
    <w:rsid w:val="0A8F42DC"/>
    <w:rsid w:val="0B116715"/>
    <w:rsid w:val="0B773D4E"/>
    <w:rsid w:val="0C6D43CF"/>
    <w:rsid w:val="0D272FFD"/>
    <w:rsid w:val="0D406B50"/>
    <w:rsid w:val="0E684952"/>
    <w:rsid w:val="126C7AA9"/>
    <w:rsid w:val="128E54A5"/>
    <w:rsid w:val="132C233E"/>
    <w:rsid w:val="13973E82"/>
    <w:rsid w:val="142072AC"/>
    <w:rsid w:val="14ED7BA3"/>
    <w:rsid w:val="14FD6C55"/>
    <w:rsid w:val="154A7FE4"/>
    <w:rsid w:val="15D11143"/>
    <w:rsid w:val="161206F8"/>
    <w:rsid w:val="164F301A"/>
    <w:rsid w:val="18737D8F"/>
    <w:rsid w:val="19CD084B"/>
    <w:rsid w:val="1AE8439A"/>
    <w:rsid w:val="1C3D303A"/>
    <w:rsid w:val="1DD957B9"/>
    <w:rsid w:val="1ECE074D"/>
    <w:rsid w:val="1FC876AE"/>
    <w:rsid w:val="23D5257E"/>
    <w:rsid w:val="24472D15"/>
    <w:rsid w:val="24D6035C"/>
    <w:rsid w:val="254F0121"/>
    <w:rsid w:val="26880786"/>
    <w:rsid w:val="274E2A1F"/>
    <w:rsid w:val="2A0D2B8E"/>
    <w:rsid w:val="2AD52E64"/>
    <w:rsid w:val="2BE64C72"/>
    <w:rsid w:val="2C2D5CCC"/>
    <w:rsid w:val="2CEB0A21"/>
    <w:rsid w:val="2D6A4D3E"/>
    <w:rsid w:val="2E4C520F"/>
    <w:rsid w:val="2EDD7C8D"/>
    <w:rsid w:val="30711881"/>
    <w:rsid w:val="332F6321"/>
    <w:rsid w:val="33A65CE5"/>
    <w:rsid w:val="34A635FD"/>
    <w:rsid w:val="34F56C2F"/>
    <w:rsid w:val="37A147F9"/>
    <w:rsid w:val="382B56B9"/>
    <w:rsid w:val="38D960AA"/>
    <w:rsid w:val="396F1187"/>
    <w:rsid w:val="39DB5260"/>
    <w:rsid w:val="3A5F560B"/>
    <w:rsid w:val="3A8F2BA2"/>
    <w:rsid w:val="3B441599"/>
    <w:rsid w:val="3B4E14F1"/>
    <w:rsid w:val="3B934DA1"/>
    <w:rsid w:val="3C9E5249"/>
    <w:rsid w:val="3D9308A4"/>
    <w:rsid w:val="3EEB2C3B"/>
    <w:rsid w:val="3EF1250A"/>
    <w:rsid w:val="40857944"/>
    <w:rsid w:val="4206121C"/>
    <w:rsid w:val="424741EF"/>
    <w:rsid w:val="42A57315"/>
    <w:rsid w:val="43002F44"/>
    <w:rsid w:val="454D60BF"/>
    <w:rsid w:val="46D36999"/>
    <w:rsid w:val="49900B72"/>
    <w:rsid w:val="4FA83605"/>
    <w:rsid w:val="502A0397"/>
    <w:rsid w:val="50BE5E5A"/>
    <w:rsid w:val="50C965C4"/>
    <w:rsid w:val="51DA5D41"/>
    <w:rsid w:val="55343301"/>
    <w:rsid w:val="57596A47"/>
    <w:rsid w:val="58C67691"/>
    <w:rsid w:val="5B123195"/>
    <w:rsid w:val="5BF840C5"/>
    <w:rsid w:val="60ED6B53"/>
    <w:rsid w:val="613765BA"/>
    <w:rsid w:val="62127D4D"/>
    <w:rsid w:val="621D1744"/>
    <w:rsid w:val="63B011F7"/>
    <w:rsid w:val="63C348B0"/>
    <w:rsid w:val="649F0955"/>
    <w:rsid w:val="67175D12"/>
    <w:rsid w:val="67B850C4"/>
    <w:rsid w:val="67D22629"/>
    <w:rsid w:val="691712EB"/>
    <w:rsid w:val="69410B62"/>
    <w:rsid w:val="6DB32B35"/>
    <w:rsid w:val="6F03756C"/>
    <w:rsid w:val="6F6F4A62"/>
    <w:rsid w:val="702E6BDE"/>
    <w:rsid w:val="7089584F"/>
    <w:rsid w:val="70F67599"/>
    <w:rsid w:val="72F17D6A"/>
    <w:rsid w:val="73A975A8"/>
    <w:rsid w:val="75A52CC4"/>
    <w:rsid w:val="75B07388"/>
    <w:rsid w:val="76FB00DA"/>
    <w:rsid w:val="778F4FB4"/>
    <w:rsid w:val="7AD65706"/>
    <w:rsid w:val="7B580C40"/>
    <w:rsid w:val="7BC13F72"/>
    <w:rsid w:val="7C3B087B"/>
    <w:rsid w:val="7C6A0A5A"/>
    <w:rsid w:val="7D225061"/>
    <w:rsid w:val="7E6B2E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5B6124"/>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5B6124"/>
    <w:pPr>
      <w:snapToGrid w:val="0"/>
      <w:spacing w:line="328" w:lineRule="auto"/>
    </w:pPr>
    <w:rPr>
      <w:rFonts w:eastAsia="黑体"/>
      <w:color w:val="000000"/>
      <w:spacing w:val="60"/>
      <w:szCs w:val="21"/>
    </w:rPr>
  </w:style>
  <w:style w:type="paragraph" w:styleId="a4">
    <w:name w:val="footer"/>
    <w:basedOn w:val="a"/>
    <w:link w:val="Char"/>
    <w:qFormat/>
    <w:rsid w:val="005B6124"/>
    <w:pPr>
      <w:tabs>
        <w:tab w:val="center" w:pos="4153"/>
        <w:tab w:val="right" w:pos="8306"/>
      </w:tabs>
      <w:snapToGrid w:val="0"/>
      <w:jc w:val="left"/>
    </w:pPr>
    <w:rPr>
      <w:sz w:val="18"/>
      <w:szCs w:val="18"/>
    </w:rPr>
  </w:style>
  <w:style w:type="paragraph" w:styleId="a5">
    <w:name w:val="header"/>
    <w:basedOn w:val="a"/>
    <w:link w:val="Char0"/>
    <w:qFormat/>
    <w:rsid w:val="005B6124"/>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5B6124"/>
    <w:pPr>
      <w:spacing w:beforeAutospacing="1" w:afterAutospacing="1"/>
      <w:jc w:val="left"/>
    </w:pPr>
    <w:rPr>
      <w:rFonts w:cs="Times New Roman"/>
      <w:kern w:val="0"/>
      <w:sz w:val="24"/>
    </w:rPr>
  </w:style>
  <w:style w:type="table" w:styleId="a7">
    <w:name w:val="Table Grid"/>
    <w:basedOn w:val="a2"/>
    <w:qFormat/>
    <w:rsid w:val="005B61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1"/>
    <w:link w:val="a5"/>
    <w:qFormat/>
    <w:rsid w:val="005B6124"/>
    <w:rPr>
      <w:rFonts w:asciiTheme="minorHAnsi" w:eastAsiaTheme="minorEastAsia" w:hAnsiTheme="minorHAnsi" w:cstheme="minorBidi"/>
      <w:kern w:val="2"/>
      <w:sz w:val="18"/>
      <w:szCs w:val="18"/>
    </w:rPr>
  </w:style>
  <w:style w:type="character" w:customStyle="1" w:styleId="Char">
    <w:name w:val="页脚 Char"/>
    <w:basedOn w:val="a1"/>
    <w:link w:val="a4"/>
    <w:qFormat/>
    <w:rsid w:val="005B6124"/>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napToGrid w:val="0"/>
      <w:spacing w:line="328" w:lineRule="auto"/>
    </w:pPr>
    <w:rPr>
      <w:rFonts w:eastAsia="黑体"/>
      <w:color w:val="000000"/>
      <w:spacing w:val="60"/>
      <w:szCs w:val="21"/>
    </w:rPr>
  </w:style>
  <w:style w:type="paragraph" w:styleId="a4">
    <w:name w:val="footer"/>
    <w:basedOn w:val="a"/>
    <w:link w:val="Char"/>
    <w:qFormat/>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spacing w:beforeAutospacing="1" w:afterAutospacing="1"/>
      <w:jc w:val="left"/>
    </w:pPr>
    <w:rPr>
      <w:rFonts w:cs="Times New Roman"/>
      <w:kern w:val="0"/>
      <w:sz w:val="24"/>
    </w:rPr>
  </w:style>
  <w:style w:type="table" w:styleId="a7">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1"/>
    <w:link w:val="a5"/>
    <w:qFormat/>
    <w:rPr>
      <w:rFonts w:asciiTheme="minorHAnsi" w:eastAsiaTheme="minorEastAsia" w:hAnsiTheme="minorHAnsi" w:cstheme="minorBidi"/>
      <w:kern w:val="2"/>
      <w:sz w:val="18"/>
      <w:szCs w:val="18"/>
    </w:rPr>
  </w:style>
  <w:style w:type="character" w:customStyle="1" w:styleId="Char">
    <w:name w:val="页脚 Char"/>
    <w:basedOn w:val="a1"/>
    <w:link w:val="a4"/>
    <w:qFormat/>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1155</Words>
  <Characters>123</Characters>
  <Application>Microsoft Office Word</Application>
  <DocSecurity>0</DocSecurity>
  <Lines>1</Lines>
  <Paragraphs>2</Paragraphs>
  <ScaleCrop>false</ScaleCrop>
  <Company>Microsoft</Company>
  <LinksUpToDate>false</LinksUpToDate>
  <CharactersWithSpaces>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潘毅</cp:lastModifiedBy>
  <cp:revision>3</cp:revision>
  <cp:lastPrinted>2022-05-26T08:32:00Z</cp:lastPrinted>
  <dcterms:created xsi:type="dcterms:W3CDTF">2022-05-26T08:50:00Z</dcterms:created>
  <dcterms:modified xsi:type="dcterms:W3CDTF">2022-05-26T08:51:00Z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0160F44601D3484E974C058737F3CEE1</vt:lpwstr>
  </property>
</Properties>
</file>